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F83A" w14:textId="73B529F9" w:rsidR="00C12B85" w:rsidRDefault="002B6D09" w:rsidP="00C12B85">
      <w:pPr>
        <w:pStyle w:val="Title"/>
      </w:pPr>
      <w:r>
        <w:t>The Church of the Assumption of the Blessed Virgin Mary, Tysoe</w:t>
      </w:r>
      <w:r>
        <w:br/>
      </w:r>
      <w:r w:rsidR="00C12B85">
        <w:t>Treasurer’s Report 202</w:t>
      </w:r>
      <w:r w:rsidR="0069362F">
        <w:t>1</w:t>
      </w:r>
    </w:p>
    <w:p w14:paraId="2EA65D3B" w14:textId="5B512348" w:rsidR="00DF548A" w:rsidRDefault="00DF548A" w:rsidP="00DF548A">
      <w:pPr>
        <w:pStyle w:val="Heading1"/>
        <w:rPr>
          <w:rFonts w:eastAsia="Times New Roman"/>
        </w:rPr>
      </w:pPr>
      <w:r>
        <w:rPr>
          <w:rFonts w:eastAsia="Times New Roman"/>
        </w:rPr>
        <w:t>Introduction:</w:t>
      </w:r>
    </w:p>
    <w:p w14:paraId="0F4284BC" w14:textId="3AD6C463" w:rsidR="003D1256" w:rsidRDefault="00D572AB" w:rsidP="00E939D8">
      <w:pPr>
        <w:jc w:val="both"/>
      </w:pPr>
      <w:r>
        <w:t xml:space="preserve">The year </w:t>
      </w:r>
      <w:r w:rsidR="00FA5467">
        <w:t>saw</w:t>
      </w:r>
      <w:r>
        <w:t xml:space="preserve"> a measured return to </w:t>
      </w:r>
      <w:r w:rsidR="008E57E1">
        <w:t>the re-</w:t>
      </w:r>
      <w:r>
        <w:t xml:space="preserve">opening of the church for Sunday worship and </w:t>
      </w:r>
      <w:r w:rsidR="008E57E1">
        <w:t>the</w:t>
      </w:r>
      <w:r w:rsidR="00182977">
        <w:t xml:space="preserve"> </w:t>
      </w:r>
      <w:r w:rsidR="00FA5467">
        <w:t>reinstatement</w:t>
      </w:r>
      <w:r w:rsidR="00182977">
        <w:t xml:space="preserve"> of </w:t>
      </w:r>
      <w:r w:rsidR="00900F20">
        <w:t xml:space="preserve">a </w:t>
      </w:r>
      <w:r w:rsidR="00182977">
        <w:t xml:space="preserve">more normal </w:t>
      </w:r>
      <w:r w:rsidR="00900F20">
        <w:t xml:space="preserve">pattern of </w:t>
      </w:r>
      <w:r w:rsidR="008D51DE">
        <w:t xml:space="preserve">income and </w:t>
      </w:r>
      <w:r w:rsidR="00900F20">
        <w:t xml:space="preserve">expenditure.  There </w:t>
      </w:r>
      <w:r w:rsidR="00FA5467">
        <w:t>was</w:t>
      </w:r>
      <w:r w:rsidR="00900F20">
        <w:t xml:space="preserve"> an encouraging response to the appeal for increased personal giving and the </w:t>
      </w:r>
      <w:r w:rsidR="008D51DE">
        <w:t>shortfall in</w:t>
      </w:r>
      <w:r w:rsidR="00900F20">
        <w:t xml:space="preserve"> income </w:t>
      </w:r>
      <w:r w:rsidR="001D1815">
        <w:t>i</w:t>
      </w:r>
      <w:r w:rsidR="00900F20">
        <w:t xml:space="preserve">n the General Fund </w:t>
      </w:r>
      <w:r w:rsidR="00FA5467">
        <w:t>was</w:t>
      </w:r>
      <w:r w:rsidR="00900F20">
        <w:t xml:space="preserve"> partial</w:t>
      </w:r>
      <w:r w:rsidR="00FA5467">
        <w:t>ly</w:t>
      </w:r>
      <w:r w:rsidR="00900F20">
        <w:t xml:space="preserve"> </w:t>
      </w:r>
      <w:r w:rsidR="00FA5467">
        <w:t>reduced</w:t>
      </w:r>
      <w:r w:rsidR="00900F20">
        <w:t xml:space="preserve">.  The Parish Giving Scheme </w:t>
      </w:r>
      <w:r w:rsidR="00FA5467">
        <w:t>was</w:t>
      </w:r>
      <w:r w:rsidR="00900F20">
        <w:t xml:space="preserve"> introduced and has been well supported.  The major restoration project of the tower stonework and church windows </w:t>
      </w:r>
      <w:r w:rsidR="00EA0C72">
        <w:t xml:space="preserve">was </w:t>
      </w:r>
      <w:r w:rsidR="00D75CF4">
        <w:t>almost</w:t>
      </w:r>
      <w:r w:rsidR="00FA5467">
        <w:t xml:space="preserve"> </w:t>
      </w:r>
      <w:r w:rsidR="00900F20">
        <w:t>completed</w:t>
      </w:r>
      <w:r w:rsidR="00A0256F">
        <w:t xml:space="preserve"> </w:t>
      </w:r>
      <w:r w:rsidR="00FA5467">
        <w:t>by the year end</w:t>
      </w:r>
      <w:r w:rsidR="00EA0C72">
        <w:t xml:space="preserve"> with everything finalised in early 2022 </w:t>
      </w:r>
      <w:r w:rsidR="00FA5467">
        <w:t xml:space="preserve">and all </w:t>
      </w:r>
      <w:r w:rsidR="00A0256F">
        <w:t>within budget</w:t>
      </w:r>
      <w:r w:rsidR="00944C98">
        <w:t>.</w:t>
      </w:r>
      <w:r w:rsidR="00150C08">
        <w:t xml:space="preserve">  However, there remains a major challenge to balance the General Fund income and expenditure as the church is </w:t>
      </w:r>
      <w:r w:rsidR="003B1F4D">
        <w:t xml:space="preserve">now </w:t>
      </w:r>
      <w:r w:rsidR="00150C08">
        <w:t>having to withdraw from investments to cover the shortfall.</w:t>
      </w:r>
    </w:p>
    <w:p w14:paraId="4DCE8971" w14:textId="527880B7" w:rsidR="00A374E4" w:rsidRDefault="00944C98" w:rsidP="00A374E4">
      <w:pPr>
        <w:pStyle w:val="Heading1"/>
        <w:rPr>
          <w:rFonts w:eastAsia="Times New Roman"/>
        </w:rPr>
      </w:pPr>
      <w:r>
        <w:rPr>
          <w:rFonts w:eastAsia="Times New Roman"/>
        </w:rPr>
        <w:t>Funds and Investments</w:t>
      </w:r>
      <w:r w:rsidR="00A374E4">
        <w:rPr>
          <w:rFonts w:eastAsia="Times New Roman"/>
        </w:rPr>
        <w:t>:</w:t>
      </w:r>
    </w:p>
    <w:p w14:paraId="03176DD2" w14:textId="20CD12CD" w:rsidR="00592A44" w:rsidRDefault="00944C98" w:rsidP="00E939D8">
      <w:pPr>
        <w:jc w:val="both"/>
      </w:pPr>
      <w:r>
        <w:t xml:space="preserve">The </w:t>
      </w:r>
      <w:r w:rsidR="006C7349">
        <w:t xml:space="preserve">structure of the various Funds that was introduced for the 2020 accounts </w:t>
      </w:r>
      <w:r w:rsidR="00DF548A">
        <w:t>has remained</w:t>
      </w:r>
      <w:r w:rsidR="006C7349">
        <w:t xml:space="preserve"> unchanged</w:t>
      </w:r>
      <w:r w:rsidR="00DF548A">
        <w:t xml:space="preserve">.  </w:t>
      </w:r>
      <w:r w:rsidR="005B56E1">
        <w:t xml:space="preserve">As reported at last year’s APCM, </w:t>
      </w:r>
      <w:r w:rsidR="00B01BB2">
        <w:t>there was no option other than</w:t>
      </w:r>
      <w:r w:rsidR="001115EF">
        <w:t xml:space="preserve"> to use some of the investments to </w:t>
      </w:r>
      <w:r w:rsidR="00EE32E1">
        <w:t>pay for</w:t>
      </w:r>
      <w:r w:rsidR="001115EF">
        <w:t xml:space="preserve"> the </w:t>
      </w:r>
      <w:r w:rsidR="00D93CD4">
        <w:t>building restoration work.  A</w:t>
      </w:r>
      <w:r w:rsidR="005B56E1">
        <w:t xml:space="preserve"> revised allocation of the Investments </w:t>
      </w:r>
      <w:r w:rsidR="00D93CD4">
        <w:t xml:space="preserve">to specific funds </w:t>
      </w:r>
      <w:r w:rsidR="005B56E1">
        <w:t>was agreed at the PCC meeting on 19</w:t>
      </w:r>
      <w:r w:rsidR="005B56E1" w:rsidRPr="00B6256D">
        <w:rPr>
          <w:vertAlign w:val="superscript"/>
        </w:rPr>
        <w:t>th</w:t>
      </w:r>
      <w:r w:rsidR="005B56E1">
        <w:t xml:space="preserve"> April</w:t>
      </w:r>
      <w:r w:rsidR="0064547A">
        <w:t>; this is</w:t>
      </w:r>
      <w:r w:rsidR="005B56E1">
        <w:t xml:space="preserve"> shown in the </w:t>
      </w:r>
      <w:r w:rsidR="0009547A">
        <w:t>second</w:t>
      </w:r>
      <w:r w:rsidR="005B56E1">
        <w:t xml:space="preserve"> column of the table below</w:t>
      </w:r>
      <w:r w:rsidR="00E152BB">
        <w:t xml:space="preserve"> (at the 2020 year-end valuations)</w:t>
      </w:r>
      <w:r w:rsidR="005B56E1">
        <w:t>.</w:t>
      </w:r>
    </w:p>
    <w:p w14:paraId="37E5EE65" w14:textId="660DD58C" w:rsidR="00D74F5B" w:rsidRDefault="008B6132" w:rsidP="00E939D8">
      <w:pPr>
        <w:jc w:val="both"/>
      </w:pPr>
      <w:r>
        <w:t xml:space="preserve">Investment shares were sold during 2021 as </w:t>
      </w:r>
      <w:r w:rsidR="00B93CEA">
        <w:t>recorded</w:t>
      </w:r>
      <w:r>
        <w:t xml:space="preserve"> </w:t>
      </w:r>
      <w:r w:rsidR="00D9328D">
        <w:t>below</w:t>
      </w:r>
      <w:r>
        <w:t>.  For the General</w:t>
      </w:r>
      <w:r w:rsidR="00B0391B">
        <w:t>, Outreach</w:t>
      </w:r>
      <w:r>
        <w:t xml:space="preserve"> and Churchyard </w:t>
      </w:r>
      <w:r w:rsidR="00B93CEA">
        <w:t>Funds</w:t>
      </w:r>
      <w:r>
        <w:t xml:space="preserve">, the sales were necessary to </w:t>
      </w:r>
      <w:r w:rsidR="00B72595">
        <w:t>reverse</w:t>
      </w:r>
      <w:r>
        <w:t xml:space="preserve"> the </w:t>
      </w:r>
      <w:r w:rsidR="00D9328D">
        <w:t xml:space="preserve">negative </w:t>
      </w:r>
      <w:r>
        <w:t xml:space="preserve">opening bank balances </w:t>
      </w:r>
      <w:r w:rsidR="00B72595">
        <w:t>and to cover</w:t>
      </w:r>
      <w:r>
        <w:t xml:space="preserve"> expenditure which exceeded income during the year.  </w:t>
      </w:r>
      <w:r w:rsidR="00B93CEA">
        <w:t xml:space="preserve">The sales in the Building &amp; Restoration Fund financed the planned expenditure on the major </w:t>
      </w:r>
      <w:r w:rsidR="004D11C2">
        <w:t xml:space="preserve">tower stonework and glass </w:t>
      </w:r>
      <w:r w:rsidR="00B93CEA">
        <w:t>restoration project.</w:t>
      </w:r>
    </w:p>
    <w:p w14:paraId="077B838E" w14:textId="373FFFEB" w:rsidR="00A374E4" w:rsidRDefault="00592A44" w:rsidP="00E939D8">
      <w:pPr>
        <w:jc w:val="both"/>
      </w:pPr>
      <w:r>
        <w:t xml:space="preserve">During the 2021 year, the investments benefited from the general improvement in financial markets due </w:t>
      </w:r>
      <w:r w:rsidR="008D51DE">
        <w:t>in part</w:t>
      </w:r>
      <w:r>
        <w:t xml:space="preserve"> to the successful </w:t>
      </w:r>
      <w:r w:rsidR="00AD3731">
        <w:t xml:space="preserve">introduction of vaccines to address the pandemic; unrealised gains </w:t>
      </w:r>
      <w:r w:rsidR="001E582D">
        <w:t>in the year totalled</w:t>
      </w:r>
      <w:r w:rsidR="00AD3731">
        <w:t xml:space="preserve"> £62,098.  </w:t>
      </w:r>
      <w:r w:rsidR="0009547A">
        <w:t>T</w:t>
      </w:r>
      <w:r w:rsidR="005B56E1">
        <w:t>he year-end</w:t>
      </w:r>
      <w:r w:rsidR="0009547A">
        <w:t xml:space="preserve"> valuation of the investments by Fund</w:t>
      </w:r>
      <w:r w:rsidR="0009547A" w:rsidRPr="0009547A">
        <w:t xml:space="preserve"> </w:t>
      </w:r>
      <w:r w:rsidR="0009547A">
        <w:t xml:space="preserve">are shown </w:t>
      </w:r>
      <w:r w:rsidR="00585CEA">
        <w:t>below</w:t>
      </w:r>
      <w:r w:rsidR="001E582D">
        <w:t>.</w:t>
      </w:r>
    </w:p>
    <w:p w14:paraId="7BB25D41" w14:textId="5C331127" w:rsidR="001E582D" w:rsidRDefault="001E582D" w:rsidP="00E939D8">
      <w:pPr>
        <w:jc w:val="both"/>
      </w:pPr>
      <w:r>
        <w:t>Since the beginning of 2022, there has been an unrealised loss of £</w:t>
      </w:r>
      <w:r w:rsidR="002E7B0C">
        <w:t>21,335</w:t>
      </w:r>
      <w:r>
        <w:t xml:space="preserve"> as the markets were impacted by the continuing pandemic and the situation in Ukraine – investments can go down as well as up!  </w:t>
      </w:r>
      <w:r w:rsidR="00625AA5">
        <w:t xml:space="preserve">There have also been further sales of shares </w:t>
      </w:r>
      <w:r w:rsidR="00354FD7">
        <w:t xml:space="preserve">as shown below </w:t>
      </w:r>
      <w:r w:rsidR="00625AA5">
        <w:t xml:space="preserve">to meet expenditure.  </w:t>
      </w:r>
      <w:r>
        <w:t xml:space="preserve">The valuation of the investments </w:t>
      </w:r>
      <w:r w:rsidR="00B93CEA">
        <w:t>on</w:t>
      </w:r>
      <w:r>
        <w:t xml:space="preserve"> </w:t>
      </w:r>
      <w:r w:rsidR="00916C4B">
        <w:t>7</w:t>
      </w:r>
      <w:r w:rsidR="00916C4B" w:rsidRPr="00916C4B">
        <w:rPr>
          <w:vertAlign w:val="superscript"/>
        </w:rPr>
        <w:t>th</w:t>
      </w:r>
      <w:r w:rsidR="00916C4B">
        <w:t xml:space="preserve"> </w:t>
      </w:r>
      <w:r w:rsidR="003B1F4D">
        <w:t>April</w:t>
      </w:r>
      <w:r>
        <w:t xml:space="preserve"> </w:t>
      </w:r>
      <w:r w:rsidR="008D51DE">
        <w:t xml:space="preserve">2022 </w:t>
      </w:r>
      <w:r>
        <w:t>are shown in the final column.</w:t>
      </w:r>
    </w:p>
    <w:tbl>
      <w:tblPr>
        <w:tblStyle w:val="TableGrid"/>
        <w:tblW w:w="9776" w:type="dxa"/>
        <w:tblLook w:val="04A0" w:firstRow="1" w:lastRow="0" w:firstColumn="1" w:lastColumn="0" w:noHBand="0" w:noVBand="1"/>
      </w:tblPr>
      <w:tblGrid>
        <w:gridCol w:w="3114"/>
        <w:gridCol w:w="1332"/>
        <w:gridCol w:w="1332"/>
        <w:gridCol w:w="1333"/>
        <w:gridCol w:w="1332"/>
        <w:gridCol w:w="1333"/>
      </w:tblGrid>
      <w:tr w:rsidR="00B72595" w:rsidRPr="00D871BA" w14:paraId="2C681F4C" w14:textId="77777777" w:rsidTr="00D75CF4">
        <w:tc>
          <w:tcPr>
            <w:tcW w:w="3114" w:type="dxa"/>
            <w:vAlign w:val="center"/>
          </w:tcPr>
          <w:p w14:paraId="3D1EBDE8" w14:textId="3647A15D" w:rsidR="00B72595" w:rsidRPr="00D871BA" w:rsidRDefault="00B72595" w:rsidP="00B72595">
            <w:pPr>
              <w:rPr>
                <w:b/>
                <w:bCs/>
              </w:rPr>
            </w:pPr>
            <w:r>
              <w:rPr>
                <w:b/>
                <w:bCs/>
              </w:rPr>
              <w:t xml:space="preserve">Investments held at the </w:t>
            </w:r>
            <w:r w:rsidRPr="00592A44">
              <w:rPr>
                <w:b/>
                <w:bCs/>
              </w:rPr>
              <w:t>Central Board of Finance of the Church of England</w:t>
            </w:r>
            <w:r>
              <w:rPr>
                <w:b/>
                <w:bCs/>
              </w:rPr>
              <w:t>:</w:t>
            </w:r>
          </w:p>
        </w:tc>
        <w:tc>
          <w:tcPr>
            <w:tcW w:w="1332" w:type="dxa"/>
            <w:vAlign w:val="center"/>
          </w:tcPr>
          <w:p w14:paraId="693DE62F" w14:textId="38CF44D1" w:rsidR="00B72595" w:rsidRDefault="00625AA5" w:rsidP="00B72595">
            <w:pPr>
              <w:jc w:val="center"/>
              <w:rPr>
                <w:b/>
                <w:bCs/>
              </w:rPr>
            </w:pPr>
            <w:r w:rsidRPr="00D871BA">
              <w:rPr>
                <w:b/>
                <w:bCs/>
              </w:rPr>
              <w:t>PCC</w:t>
            </w:r>
            <w:r>
              <w:rPr>
                <w:b/>
                <w:bCs/>
              </w:rPr>
              <w:t xml:space="preserve"> </w:t>
            </w:r>
            <w:r w:rsidR="00B72595">
              <w:rPr>
                <w:b/>
                <w:bCs/>
              </w:rPr>
              <w:t>Allocation</w:t>
            </w:r>
          </w:p>
          <w:p w14:paraId="05714D5F" w14:textId="1636FED8" w:rsidR="00B72595" w:rsidRDefault="00B72595" w:rsidP="00B72595">
            <w:pPr>
              <w:jc w:val="center"/>
              <w:rPr>
                <w:b/>
                <w:bCs/>
              </w:rPr>
            </w:pPr>
            <w:r w:rsidRPr="00D871BA">
              <w:rPr>
                <w:b/>
                <w:bCs/>
              </w:rPr>
              <w:t xml:space="preserve">19-Apr-21 </w:t>
            </w:r>
          </w:p>
        </w:tc>
        <w:tc>
          <w:tcPr>
            <w:tcW w:w="1332" w:type="dxa"/>
            <w:vAlign w:val="center"/>
          </w:tcPr>
          <w:p w14:paraId="645135AE" w14:textId="0426835E" w:rsidR="00B72595" w:rsidRDefault="00B72595" w:rsidP="00B72595">
            <w:pPr>
              <w:jc w:val="center"/>
              <w:rPr>
                <w:b/>
                <w:bCs/>
              </w:rPr>
            </w:pPr>
            <w:r>
              <w:rPr>
                <w:b/>
                <w:bCs/>
              </w:rPr>
              <w:t>Sold in 2021</w:t>
            </w:r>
          </w:p>
        </w:tc>
        <w:tc>
          <w:tcPr>
            <w:tcW w:w="1333" w:type="dxa"/>
            <w:vAlign w:val="center"/>
          </w:tcPr>
          <w:p w14:paraId="6F04743C" w14:textId="23A3F741" w:rsidR="00B72595" w:rsidRDefault="00B72595" w:rsidP="00B72595">
            <w:pPr>
              <w:jc w:val="center"/>
              <w:rPr>
                <w:b/>
                <w:bCs/>
              </w:rPr>
            </w:pPr>
            <w:r>
              <w:rPr>
                <w:b/>
                <w:bCs/>
              </w:rPr>
              <w:t>Year-end</w:t>
            </w:r>
          </w:p>
          <w:p w14:paraId="3E4C6422" w14:textId="05FB07D0" w:rsidR="00B72595" w:rsidRPr="00D871BA" w:rsidRDefault="00B72595" w:rsidP="00B72595">
            <w:pPr>
              <w:jc w:val="center"/>
              <w:rPr>
                <w:b/>
                <w:bCs/>
              </w:rPr>
            </w:pPr>
            <w:r>
              <w:rPr>
                <w:b/>
                <w:bCs/>
              </w:rPr>
              <w:t>31-Dec-21</w:t>
            </w:r>
          </w:p>
        </w:tc>
        <w:tc>
          <w:tcPr>
            <w:tcW w:w="1332" w:type="dxa"/>
            <w:vAlign w:val="center"/>
          </w:tcPr>
          <w:p w14:paraId="73B4EC1D" w14:textId="03AE3F1A" w:rsidR="00B72595" w:rsidRDefault="00B72595" w:rsidP="00B72595">
            <w:pPr>
              <w:jc w:val="center"/>
              <w:rPr>
                <w:b/>
                <w:bCs/>
              </w:rPr>
            </w:pPr>
            <w:r>
              <w:rPr>
                <w:b/>
                <w:bCs/>
              </w:rPr>
              <w:t xml:space="preserve">Sold </w:t>
            </w:r>
            <w:r w:rsidR="00625AA5">
              <w:rPr>
                <w:b/>
                <w:bCs/>
              </w:rPr>
              <w:t xml:space="preserve">so far </w:t>
            </w:r>
            <w:r>
              <w:rPr>
                <w:b/>
                <w:bCs/>
              </w:rPr>
              <w:t>in 202</w:t>
            </w:r>
            <w:r w:rsidR="00625AA5">
              <w:rPr>
                <w:b/>
                <w:bCs/>
              </w:rPr>
              <w:t>2</w:t>
            </w:r>
          </w:p>
        </w:tc>
        <w:tc>
          <w:tcPr>
            <w:tcW w:w="1333" w:type="dxa"/>
            <w:vAlign w:val="center"/>
          </w:tcPr>
          <w:p w14:paraId="1FE57332" w14:textId="01DF6F13" w:rsidR="00B72595" w:rsidRDefault="00B72595" w:rsidP="00B72595">
            <w:pPr>
              <w:jc w:val="center"/>
              <w:rPr>
                <w:b/>
                <w:bCs/>
              </w:rPr>
            </w:pPr>
            <w:r>
              <w:rPr>
                <w:b/>
                <w:bCs/>
              </w:rPr>
              <w:t>Valuation at</w:t>
            </w:r>
          </w:p>
          <w:p w14:paraId="13AA3F13" w14:textId="717F1813" w:rsidR="00B72595" w:rsidRPr="00D871BA" w:rsidRDefault="002E7B0C" w:rsidP="00B72595">
            <w:pPr>
              <w:jc w:val="center"/>
              <w:rPr>
                <w:b/>
                <w:bCs/>
              </w:rPr>
            </w:pPr>
            <w:r>
              <w:rPr>
                <w:b/>
                <w:bCs/>
              </w:rPr>
              <w:t>7</w:t>
            </w:r>
            <w:r w:rsidR="003B1F4D">
              <w:rPr>
                <w:b/>
                <w:bCs/>
              </w:rPr>
              <w:t>-Apr</w:t>
            </w:r>
            <w:r w:rsidR="00B72595">
              <w:rPr>
                <w:b/>
                <w:bCs/>
              </w:rPr>
              <w:t>-22</w:t>
            </w:r>
          </w:p>
        </w:tc>
      </w:tr>
      <w:tr w:rsidR="00B72595" w14:paraId="42E9FA72" w14:textId="77777777" w:rsidTr="00D75CF4">
        <w:tc>
          <w:tcPr>
            <w:tcW w:w="3114" w:type="dxa"/>
            <w:vAlign w:val="center"/>
          </w:tcPr>
          <w:p w14:paraId="318567A6" w14:textId="092B7AA1" w:rsidR="00B72595" w:rsidRDefault="00B72595" w:rsidP="00B72595">
            <w:r>
              <w:t>General Fund</w:t>
            </w:r>
          </w:p>
        </w:tc>
        <w:tc>
          <w:tcPr>
            <w:tcW w:w="1332" w:type="dxa"/>
            <w:vAlign w:val="center"/>
          </w:tcPr>
          <w:p w14:paraId="53973452" w14:textId="5971AA13" w:rsidR="00B72595" w:rsidRDefault="00B72595" w:rsidP="00B72595">
            <w:pPr>
              <w:jc w:val="right"/>
            </w:pPr>
            <w:r>
              <w:t>£40,000</w:t>
            </w:r>
          </w:p>
        </w:tc>
        <w:tc>
          <w:tcPr>
            <w:tcW w:w="1332" w:type="dxa"/>
            <w:vAlign w:val="center"/>
          </w:tcPr>
          <w:p w14:paraId="027B17F1" w14:textId="15506CC8" w:rsidR="00B72595" w:rsidRDefault="00B72595" w:rsidP="00B72595">
            <w:pPr>
              <w:jc w:val="right"/>
            </w:pPr>
            <w:r>
              <w:t>£15,000</w:t>
            </w:r>
          </w:p>
        </w:tc>
        <w:tc>
          <w:tcPr>
            <w:tcW w:w="1333" w:type="dxa"/>
            <w:vAlign w:val="center"/>
          </w:tcPr>
          <w:p w14:paraId="65E61841" w14:textId="1A852F7A" w:rsidR="00B72595" w:rsidRDefault="00B72595" w:rsidP="00B72595">
            <w:pPr>
              <w:jc w:val="right"/>
            </w:pPr>
            <w:r>
              <w:t>£30,444</w:t>
            </w:r>
          </w:p>
        </w:tc>
        <w:tc>
          <w:tcPr>
            <w:tcW w:w="1332" w:type="dxa"/>
            <w:vAlign w:val="center"/>
          </w:tcPr>
          <w:p w14:paraId="00E3F587" w14:textId="598DB096" w:rsidR="00B72595" w:rsidRDefault="00B72595" w:rsidP="00B72595">
            <w:pPr>
              <w:jc w:val="right"/>
            </w:pPr>
            <w:r>
              <w:t>£</w:t>
            </w:r>
            <w:r w:rsidR="002E7B0C">
              <w:t>9</w:t>
            </w:r>
            <w:r>
              <w:t>,000</w:t>
            </w:r>
          </w:p>
        </w:tc>
        <w:tc>
          <w:tcPr>
            <w:tcW w:w="1333" w:type="dxa"/>
            <w:vAlign w:val="center"/>
          </w:tcPr>
          <w:p w14:paraId="473D645B" w14:textId="1BD7B152" w:rsidR="00B72595" w:rsidRDefault="00B72595" w:rsidP="00B72595">
            <w:pPr>
              <w:jc w:val="right"/>
            </w:pPr>
            <w:r>
              <w:t>£</w:t>
            </w:r>
            <w:r w:rsidR="002E7B0C">
              <w:t>19,653</w:t>
            </w:r>
          </w:p>
        </w:tc>
      </w:tr>
      <w:tr w:rsidR="00B72595" w14:paraId="3991F378" w14:textId="77777777" w:rsidTr="00D75CF4">
        <w:tc>
          <w:tcPr>
            <w:tcW w:w="3114" w:type="dxa"/>
            <w:vAlign w:val="center"/>
          </w:tcPr>
          <w:p w14:paraId="2539D171" w14:textId="77777777" w:rsidR="00B72595" w:rsidRDefault="00B72595" w:rsidP="00B72595">
            <w:r>
              <w:t>General Fund – Outreach</w:t>
            </w:r>
          </w:p>
        </w:tc>
        <w:tc>
          <w:tcPr>
            <w:tcW w:w="1332" w:type="dxa"/>
            <w:vAlign w:val="center"/>
          </w:tcPr>
          <w:p w14:paraId="3F606878" w14:textId="78968E4A" w:rsidR="00B72595" w:rsidRDefault="00B72595" w:rsidP="00B72595">
            <w:pPr>
              <w:jc w:val="right"/>
            </w:pPr>
            <w:r>
              <w:t>£15,000</w:t>
            </w:r>
          </w:p>
        </w:tc>
        <w:tc>
          <w:tcPr>
            <w:tcW w:w="1332" w:type="dxa"/>
            <w:vAlign w:val="center"/>
          </w:tcPr>
          <w:p w14:paraId="36223DB6" w14:textId="3C0885FA" w:rsidR="00B72595" w:rsidRDefault="00B72595" w:rsidP="00B72595">
            <w:pPr>
              <w:jc w:val="right"/>
            </w:pPr>
            <w:r>
              <w:t>£5,000</w:t>
            </w:r>
          </w:p>
        </w:tc>
        <w:tc>
          <w:tcPr>
            <w:tcW w:w="1333" w:type="dxa"/>
            <w:vAlign w:val="center"/>
          </w:tcPr>
          <w:p w14:paraId="3624905A" w14:textId="47522A01" w:rsidR="00B72595" w:rsidRDefault="00B72595" w:rsidP="00B72595">
            <w:pPr>
              <w:jc w:val="right"/>
            </w:pPr>
            <w:r>
              <w:t>£11,357</w:t>
            </w:r>
          </w:p>
        </w:tc>
        <w:tc>
          <w:tcPr>
            <w:tcW w:w="1332" w:type="dxa"/>
            <w:vAlign w:val="center"/>
          </w:tcPr>
          <w:p w14:paraId="2507FED1" w14:textId="17C50417" w:rsidR="00B72595" w:rsidRDefault="003B1F4D" w:rsidP="00B72595">
            <w:pPr>
              <w:jc w:val="right"/>
            </w:pPr>
            <w:r>
              <w:t>£1,000</w:t>
            </w:r>
          </w:p>
        </w:tc>
        <w:tc>
          <w:tcPr>
            <w:tcW w:w="1333" w:type="dxa"/>
            <w:vAlign w:val="center"/>
          </w:tcPr>
          <w:p w14:paraId="33C29E4B" w14:textId="2E68219F" w:rsidR="00B72595" w:rsidRDefault="00B72595" w:rsidP="00B72595">
            <w:pPr>
              <w:jc w:val="right"/>
            </w:pPr>
            <w:r>
              <w:t>£</w:t>
            </w:r>
            <w:r w:rsidR="003B1F4D">
              <w:t>9,</w:t>
            </w:r>
            <w:r w:rsidR="002E7B0C">
              <w:t>638</w:t>
            </w:r>
          </w:p>
        </w:tc>
      </w:tr>
      <w:tr w:rsidR="00B72595" w14:paraId="1F0FD01B" w14:textId="77777777" w:rsidTr="00D75CF4">
        <w:tc>
          <w:tcPr>
            <w:tcW w:w="3114" w:type="dxa"/>
            <w:vAlign w:val="center"/>
          </w:tcPr>
          <w:p w14:paraId="2F360DF9" w14:textId="3E8FA3A1" w:rsidR="00B72595" w:rsidRDefault="00B72595" w:rsidP="00B72595">
            <w:r>
              <w:t>Churchyard Fund</w:t>
            </w:r>
          </w:p>
        </w:tc>
        <w:tc>
          <w:tcPr>
            <w:tcW w:w="1332" w:type="dxa"/>
            <w:vAlign w:val="center"/>
          </w:tcPr>
          <w:p w14:paraId="0F434A31" w14:textId="42DDA298" w:rsidR="00B72595" w:rsidRDefault="00B72595" w:rsidP="00B72595">
            <w:pPr>
              <w:jc w:val="right"/>
            </w:pPr>
            <w:r>
              <w:t>£70,000</w:t>
            </w:r>
          </w:p>
        </w:tc>
        <w:tc>
          <w:tcPr>
            <w:tcW w:w="1332" w:type="dxa"/>
            <w:vAlign w:val="center"/>
          </w:tcPr>
          <w:p w14:paraId="3558928F" w14:textId="0BA2AFDD" w:rsidR="00B72595" w:rsidRDefault="00B72595" w:rsidP="00B72595">
            <w:pPr>
              <w:jc w:val="right"/>
            </w:pPr>
            <w:r>
              <w:t>£12,000</w:t>
            </w:r>
          </w:p>
        </w:tc>
        <w:tc>
          <w:tcPr>
            <w:tcW w:w="1333" w:type="dxa"/>
            <w:vAlign w:val="center"/>
          </w:tcPr>
          <w:p w14:paraId="47C2D8F5" w14:textId="5AA63553" w:rsidR="00B72595" w:rsidRDefault="00B72595" w:rsidP="00B72595">
            <w:pPr>
              <w:jc w:val="right"/>
            </w:pPr>
            <w:r>
              <w:t>£77,768</w:t>
            </w:r>
          </w:p>
        </w:tc>
        <w:tc>
          <w:tcPr>
            <w:tcW w:w="1332" w:type="dxa"/>
            <w:vAlign w:val="center"/>
          </w:tcPr>
          <w:p w14:paraId="01AF7D0C" w14:textId="5677BC4F" w:rsidR="00B72595" w:rsidRDefault="00B72595" w:rsidP="00B72595">
            <w:pPr>
              <w:jc w:val="right"/>
            </w:pPr>
            <w:r>
              <w:t>£</w:t>
            </w:r>
            <w:r w:rsidR="002E7B0C">
              <w:t>2</w:t>
            </w:r>
            <w:r>
              <w:t>,000</w:t>
            </w:r>
          </w:p>
        </w:tc>
        <w:tc>
          <w:tcPr>
            <w:tcW w:w="1333" w:type="dxa"/>
            <w:vAlign w:val="center"/>
          </w:tcPr>
          <w:p w14:paraId="1909FE22" w14:textId="56A9DFEE" w:rsidR="00B72595" w:rsidRDefault="00B72595" w:rsidP="00B72595">
            <w:pPr>
              <w:jc w:val="right"/>
            </w:pPr>
            <w:r>
              <w:t>£</w:t>
            </w:r>
            <w:r w:rsidR="002E7B0C">
              <w:t>70,748</w:t>
            </w:r>
          </w:p>
        </w:tc>
      </w:tr>
      <w:tr w:rsidR="00B72595" w14:paraId="16BBF720" w14:textId="77777777" w:rsidTr="00D75CF4">
        <w:tc>
          <w:tcPr>
            <w:tcW w:w="3114" w:type="dxa"/>
            <w:vAlign w:val="center"/>
          </w:tcPr>
          <w:p w14:paraId="3CAF5AD3" w14:textId="77777777" w:rsidR="00B72595" w:rsidRDefault="00B72595" w:rsidP="00B72595">
            <w:r>
              <w:t>Churchyard Fund - additional</w:t>
            </w:r>
          </w:p>
        </w:tc>
        <w:tc>
          <w:tcPr>
            <w:tcW w:w="1332" w:type="dxa"/>
            <w:vAlign w:val="center"/>
          </w:tcPr>
          <w:p w14:paraId="4A281216" w14:textId="4BB388D8" w:rsidR="00B72595" w:rsidRDefault="00B72595" w:rsidP="00B72595">
            <w:pPr>
              <w:jc w:val="right"/>
            </w:pPr>
            <w:r>
              <w:t>£5,000</w:t>
            </w:r>
          </w:p>
        </w:tc>
        <w:tc>
          <w:tcPr>
            <w:tcW w:w="1332" w:type="dxa"/>
            <w:vAlign w:val="center"/>
          </w:tcPr>
          <w:p w14:paraId="4240FB43" w14:textId="0053006F" w:rsidR="00B72595" w:rsidRDefault="00B72595" w:rsidP="00B72595">
            <w:pPr>
              <w:jc w:val="right"/>
            </w:pPr>
            <w:r>
              <w:t>-</w:t>
            </w:r>
          </w:p>
        </w:tc>
        <w:tc>
          <w:tcPr>
            <w:tcW w:w="1333" w:type="dxa"/>
            <w:vAlign w:val="center"/>
          </w:tcPr>
          <w:p w14:paraId="2E3C2147" w14:textId="21FB56E3" w:rsidR="00B72595" w:rsidRDefault="00B72595" w:rsidP="00B72595">
            <w:pPr>
              <w:jc w:val="right"/>
            </w:pPr>
            <w:r>
              <w:t>-</w:t>
            </w:r>
          </w:p>
        </w:tc>
        <w:tc>
          <w:tcPr>
            <w:tcW w:w="1332" w:type="dxa"/>
            <w:vAlign w:val="center"/>
          </w:tcPr>
          <w:p w14:paraId="3AA81391" w14:textId="5CD45665" w:rsidR="00B72595" w:rsidRDefault="00B72595" w:rsidP="00B72595">
            <w:pPr>
              <w:jc w:val="right"/>
            </w:pPr>
            <w:r>
              <w:t>-</w:t>
            </w:r>
          </w:p>
        </w:tc>
        <w:tc>
          <w:tcPr>
            <w:tcW w:w="1333" w:type="dxa"/>
            <w:vAlign w:val="center"/>
          </w:tcPr>
          <w:p w14:paraId="53D5655A" w14:textId="445CE41D" w:rsidR="00B72595" w:rsidRDefault="00B72595" w:rsidP="00B72595">
            <w:pPr>
              <w:jc w:val="right"/>
            </w:pPr>
            <w:r>
              <w:t>-</w:t>
            </w:r>
          </w:p>
        </w:tc>
      </w:tr>
      <w:tr w:rsidR="00B72595" w14:paraId="18ED2447" w14:textId="77777777" w:rsidTr="00D75CF4">
        <w:tc>
          <w:tcPr>
            <w:tcW w:w="3114" w:type="dxa"/>
            <w:vAlign w:val="center"/>
          </w:tcPr>
          <w:p w14:paraId="4404372E" w14:textId="77777777" w:rsidR="00B72595" w:rsidRDefault="00B72595" w:rsidP="00B72595">
            <w:r>
              <w:t>Churchyard Improvements Fund</w:t>
            </w:r>
          </w:p>
        </w:tc>
        <w:tc>
          <w:tcPr>
            <w:tcW w:w="1332" w:type="dxa"/>
            <w:vAlign w:val="center"/>
          </w:tcPr>
          <w:p w14:paraId="12429050" w14:textId="4195A853" w:rsidR="00B72595" w:rsidRDefault="00B72595" w:rsidP="00B72595">
            <w:pPr>
              <w:jc w:val="right"/>
            </w:pPr>
            <w:r>
              <w:t>£5,000</w:t>
            </w:r>
          </w:p>
        </w:tc>
        <w:tc>
          <w:tcPr>
            <w:tcW w:w="1332" w:type="dxa"/>
            <w:vAlign w:val="center"/>
          </w:tcPr>
          <w:p w14:paraId="19BEF256" w14:textId="0B445CB2" w:rsidR="00B72595" w:rsidRDefault="00B72595" w:rsidP="00B72595">
            <w:pPr>
              <w:jc w:val="right"/>
            </w:pPr>
            <w:r>
              <w:t>-</w:t>
            </w:r>
          </w:p>
        </w:tc>
        <w:tc>
          <w:tcPr>
            <w:tcW w:w="1333" w:type="dxa"/>
            <w:vAlign w:val="center"/>
          </w:tcPr>
          <w:p w14:paraId="70C5AE29" w14:textId="51F4070A" w:rsidR="00B72595" w:rsidRDefault="00B72595" w:rsidP="00B72595">
            <w:pPr>
              <w:jc w:val="right"/>
            </w:pPr>
            <w:r>
              <w:t>-</w:t>
            </w:r>
          </w:p>
        </w:tc>
        <w:tc>
          <w:tcPr>
            <w:tcW w:w="1332" w:type="dxa"/>
            <w:vAlign w:val="center"/>
          </w:tcPr>
          <w:p w14:paraId="65F1B34D" w14:textId="59034ADD" w:rsidR="00B72595" w:rsidRDefault="00B72595" w:rsidP="00B72595">
            <w:pPr>
              <w:jc w:val="right"/>
            </w:pPr>
            <w:r>
              <w:t>-</w:t>
            </w:r>
          </w:p>
        </w:tc>
        <w:tc>
          <w:tcPr>
            <w:tcW w:w="1333" w:type="dxa"/>
            <w:vAlign w:val="center"/>
          </w:tcPr>
          <w:p w14:paraId="6AB73B8D" w14:textId="5D0362C9" w:rsidR="00B72595" w:rsidRDefault="00B72595" w:rsidP="00B72595">
            <w:pPr>
              <w:jc w:val="right"/>
            </w:pPr>
            <w:r>
              <w:t>-</w:t>
            </w:r>
          </w:p>
        </w:tc>
      </w:tr>
      <w:tr w:rsidR="00B72595" w14:paraId="42FC5D03" w14:textId="77777777" w:rsidTr="00D75CF4">
        <w:tc>
          <w:tcPr>
            <w:tcW w:w="3114" w:type="dxa"/>
            <w:vAlign w:val="center"/>
          </w:tcPr>
          <w:p w14:paraId="5C957981" w14:textId="77777777" w:rsidR="00B72595" w:rsidRDefault="00B72595" w:rsidP="00B72595">
            <w:r>
              <w:t>Building Restoration Fund</w:t>
            </w:r>
          </w:p>
        </w:tc>
        <w:tc>
          <w:tcPr>
            <w:tcW w:w="1332" w:type="dxa"/>
            <w:vAlign w:val="center"/>
          </w:tcPr>
          <w:p w14:paraId="08F7725C" w14:textId="25675A89" w:rsidR="00B72595" w:rsidRDefault="00B72595" w:rsidP="00B72595">
            <w:pPr>
              <w:jc w:val="right"/>
            </w:pPr>
            <w:r>
              <w:t>£328,832</w:t>
            </w:r>
          </w:p>
        </w:tc>
        <w:tc>
          <w:tcPr>
            <w:tcW w:w="1332" w:type="dxa"/>
            <w:vAlign w:val="center"/>
          </w:tcPr>
          <w:p w14:paraId="7F8CCAA6" w14:textId="4272CBF1" w:rsidR="00B72595" w:rsidRDefault="00B72595" w:rsidP="00B72595">
            <w:pPr>
              <w:jc w:val="right"/>
            </w:pPr>
            <w:r>
              <w:t>£133,000</w:t>
            </w:r>
          </w:p>
        </w:tc>
        <w:tc>
          <w:tcPr>
            <w:tcW w:w="1333" w:type="dxa"/>
            <w:vAlign w:val="center"/>
          </w:tcPr>
          <w:p w14:paraId="6D632F2A" w14:textId="4D638FB4" w:rsidR="00B72595" w:rsidRDefault="00B72595" w:rsidP="00B72595">
            <w:pPr>
              <w:jc w:val="right"/>
            </w:pPr>
            <w:r>
              <w:t>£241,361</w:t>
            </w:r>
          </w:p>
        </w:tc>
        <w:tc>
          <w:tcPr>
            <w:tcW w:w="1332" w:type="dxa"/>
            <w:vAlign w:val="center"/>
          </w:tcPr>
          <w:p w14:paraId="1D2A6245" w14:textId="08F99C9E" w:rsidR="00B72595" w:rsidRDefault="00B72595" w:rsidP="00B72595">
            <w:pPr>
              <w:jc w:val="right"/>
            </w:pPr>
            <w:r>
              <w:t>£</w:t>
            </w:r>
            <w:r w:rsidR="001115EF">
              <w:t>8</w:t>
            </w:r>
            <w:r w:rsidR="002E7B0C">
              <w:t>3</w:t>
            </w:r>
            <w:r>
              <w:t>,000</w:t>
            </w:r>
          </w:p>
        </w:tc>
        <w:tc>
          <w:tcPr>
            <w:tcW w:w="1333" w:type="dxa"/>
            <w:vAlign w:val="center"/>
          </w:tcPr>
          <w:p w14:paraId="11154E47" w14:textId="336EE1EF" w:rsidR="00B72595" w:rsidRDefault="00B72595" w:rsidP="00B72595">
            <w:pPr>
              <w:jc w:val="right"/>
            </w:pPr>
            <w:r>
              <w:t>£</w:t>
            </w:r>
            <w:r w:rsidR="003B1F4D">
              <w:t>14</w:t>
            </w:r>
            <w:r w:rsidR="002E7B0C">
              <w:t>4</w:t>
            </w:r>
            <w:r w:rsidR="003B1F4D">
              <w:t>,</w:t>
            </w:r>
            <w:r w:rsidR="002E7B0C">
              <w:t>556</w:t>
            </w:r>
          </w:p>
        </w:tc>
      </w:tr>
      <w:tr w:rsidR="00B72595" w:rsidRPr="008B6132" w14:paraId="2CF3DE97" w14:textId="77777777" w:rsidTr="00D75CF4">
        <w:tc>
          <w:tcPr>
            <w:tcW w:w="3114" w:type="dxa"/>
            <w:vAlign w:val="center"/>
          </w:tcPr>
          <w:p w14:paraId="66890225" w14:textId="77777777" w:rsidR="00B72595" w:rsidRPr="008B6132" w:rsidRDefault="00B72595" w:rsidP="00B72595">
            <w:pPr>
              <w:rPr>
                <w:b/>
                <w:bCs/>
              </w:rPr>
            </w:pPr>
            <w:r w:rsidRPr="008B6132">
              <w:rPr>
                <w:b/>
                <w:bCs/>
              </w:rPr>
              <w:t>Total</w:t>
            </w:r>
          </w:p>
        </w:tc>
        <w:tc>
          <w:tcPr>
            <w:tcW w:w="1332" w:type="dxa"/>
            <w:vAlign w:val="center"/>
          </w:tcPr>
          <w:p w14:paraId="289AA363" w14:textId="09090035" w:rsidR="00B72595" w:rsidRPr="008B6132" w:rsidRDefault="00B72595" w:rsidP="00B72595">
            <w:pPr>
              <w:jc w:val="right"/>
              <w:rPr>
                <w:b/>
                <w:bCs/>
              </w:rPr>
            </w:pPr>
            <w:r w:rsidRPr="008B6132">
              <w:rPr>
                <w:b/>
                <w:bCs/>
              </w:rPr>
              <w:t>£463,832</w:t>
            </w:r>
          </w:p>
        </w:tc>
        <w:tc>
          <w:tcPr>
            <w:tcW w:w="1332" w:type="dxa"/>
            <w:vAlign w:val="center"/>
          </w:tcPr>
          <w:p w14:paraId="60F527D2" w14:textId="0FEFEE75" w:rsidR="00B72595" w:rsidRPr="008B6132" w:rsidRDefault="00B72595" w:rsidP="00B72595">
            <w:pPr>
              <w:jc w:val="right"/>
              <w:rPr>
                <w:b/>
                <w:bCs/>
              </w:rPr>
            </w:pPr>
            <w:r w:rsidRPr="008B6132">
              <w:rPr>
                <w:b/>
                <w:bCs/>
              </w:rPr>
              <w:t>£165,000</w:t>
            </w:r>
          </w:p>
        </w:tc>
        <w:tc>
          <w:tcPr>
            <w:tcW w:w="1333" w:type="dxa"/>
            <w:vAlign w:val="center"/>
          </w:tcPr>
          <w:p w14:paraId="31243F47" w14:textId="57472F79" w:rsidR="00B72595" w:rsidRPr="008B6132" w:rsidRDefault="00B72595" w:rsidP="00B72595">
            <w:pPr>
              <w:jc w:val="right"/>
              <w:rPr>
                <w:b/>
                <w:bCs/>
              </w:rPr>
            </w:pPr>
            <w:r w:rsidRPr="008B6132">
              <w:rPr>
                <w:b/>
                <w:bCs/>
              </w:rPr>
              <w:t>£360,930</w:t>
            </w:r>
          </w:p>
        </w:tc>
        <w:tc>
          <w:tcPr>
            <w:tcW w:w="1332" w:type="dxa"/>
            <w:vAlign w:val="center"/>
          </w:tcPr>
          <w:p w14:paraId="2C2FFF15" w14:textId="786EBEE1" w:rsidR="00B72595" w:rsidRPr="008B6132" w:rsidRDefault="00B72595" w:rsidP="00B72595">
            <w:pPr>
              <w:jc w:val="right"/>
              <w:rPr>
                <w:b/>
                <w:bCs/>
              </w:rPr>
            </w:pPr>
            <w:r w:rsidRPr="008B6132">
              <w:rPr>
                <w:b/>
                <w:bCs/>
              </w:rPr>
              <w:t>£</w:t>
            </w:r>
            <w:r w:rsidR="00E51B3B">
              <w:rPr>
                <w:b/>
                <w:bCs/>
              </w:rPr>
              <w:t>95</w:t>
            </w:r>
            <w:r w:rsidRPr="008B6132">
              <w:rPr>
                <w:b/>
                <w:bCs/>
              </w:rPr>
              <w:t>,000</w:t>
            </w:r>
          </w:p>
        </w:tc>
        <w:tc>
          <w:tcPr>
            <w:tcW w:w="1333" w:type="dxa"/>
            <w:vAlign w:val="center"/>
          </w:tcPr>
          <w:p w14:paraId="569C479B" w14:textId="6127FF50" w:rsidR="00B72595" w:rsidRPr="008B6132" w:rsidRDefault="00B72595" w:rsidP="00B72595">
            <w:pPr>
              <w:jc w:val="right"/>
              <w:rPr>
                <w:b/>
                <w:bCs/>
              </w:rPr>
            </w:pPr>
            <w:r w:rsidRPr="008B6132">
              <w:rPr>
                <w:b/>
                <w:bCs/>
              </w:rPr>
              <w:t>£</w:t>
            </w:r>
            <w:r>
              <w:rPr>
                <w:b/>
                <w:bCs/>
              </w:rPr>
              <w:t>24</w:t>
            </w:r>
            <w:r w:rsidR="002E7B0C">
              <w:rPr>
                <w:b/>
                <w:bCs/>
              </w:rPr>
              <w:t>4</w:t>
            </w:r>
            <w:r>
              <w:rPr>
                <w:b/>
                <w:bCs/>
              </w:rPr>
              <w:t>,</w:t>
            </w:r>
            <w:r w:rsidR="002E7B0C">
              <w:rPr>
                <w:b/>
                <w:bCs/>
              </w:rPr>
              <w:t>595</w:t>
            </w:r>
          </w:p>
        </w:tc>
      </w:tr>
    </w:tbl>
    <w:p w14:paraId="2B96CBAC" w14:textId="608DC7EC" w:rsidR="008A5AF8" w:rsidRDefault="00B93CEA" w:rsidP="00E939D8">
      <w:pPr>
        <w:spacing w:before="160"/>
        <w:jc w:val="both"/>
      </w:pPr>
      <w:r>
        <w:t xml:space="preserve">The </w:t>
      </w:r>
      <w:r w:rsidR="00424F18">
        <w:t xml:space="preserve">original £250,000 that was invested in the CFB Church of England Investment Fund </w:t>
      </w:r>
      <w:r w:rsidR="002B7A2F">
        <w:t xml:space="preserve">from the Doris Smith bequest in 2010 </w:t>
      </w:r>
      <w:r w:rsidR="00424F18">
        <w:t xml:space="preserve">had </w:t>
      </w:r>
      <w:r w:rsidR="009E25F5">
        <w:t>grown to £463,832 by January 2021</w:t>
      </w:r>
      <w:r w:rsidR="00424F18">
        <w:t xml:space="preserve">.  </w:t>
      </w:r>
      <w:r w:rsidR="002B7A2F">
        <w:t>Last year’s</w:t>
      </w:r>
      <w:r w:rsidR="00424F18">
        <w:t xml:space="preserve"> reallocation of</w:t>
      </w:r>
      <w:r>
        <w:t xml:space="preserve"> the investments has </w:t>
      </w:r>
      <w:r w:rsidR="00E939D8">
        <w:t>covered the costs</w:t>
      </w:r>
      <w:r w:rsidR="00B01BB2">
        <w:t xml:space="preserve"> for</w:t>
      </w:r>
      <w:r w:rsidR="00424F18">
        <w:t xml:space="preserve"> the restoration project as well as ma</w:t>
      </w:r>
      <w:r w:rsidR="00B01BB2">
        <w:t>de</w:t>
      </w:r>
      <w:r w:rsidR="00424F18">
        <w:t xml:space="preserve"> up the shortfall in </w:t>
      </w:r>
      <w:r w:rsidR="00065AC1">
        <w:t xml:space="preserve">the </w:t>
      </w:r>
      <w:r w:rsidR="00585CEA">
        <w:t>other</w:t>
      </w:r>
      <w:r w:rsidR="00065AC1">
        <w:t xml:space="preserve"> Fund</w:t>
      </w:r>
      <w:r w:rsidR="00585CEA">
        <w:t>s</w:t>
      </w:r>
      <w:r>
        <w:t xml:space="preserve">.  </w:t>
      </w:r>
      <w:r w:rsidR="00065AC1">
        <w:t xml:space="preserve">The originally stated main objective of the legacy (to maintain the Churchyard) has been protected and adequate funding </w:t>
      </w:r>
      <w:r w:rsidR="00354FD7">
        <w:t>r</w:t>
      </w:r>
      <w:r w:rsidR="00065AC1">
        <w:t>eserved for the future.</w:t>
      </w:r>
    </w:p>
    <w:p w14:paraId="2576E0A2" w14:textId="66858527" w:rsidR="00CF09DE" w:rsidRDefault="009E25F5" w:rsidP="00E939D8">
      <w:pPr>
        <w:spacing w:before="120"/>
        <w:jc w:val="both"/>
      </w:pPr>
      <w:r>
        <w:t xml:space="preserve">However, as </w:t>
      </w:r>
      <w:r w:rsidR="00E51B3B">
        <w:t xml:space="preserve">a direct consequence of having to use some of the investments, the dividend income </w:t>
      </w:r>
      <w:r w:rsidR="00311B98">
        <w:t>will be significantly reduced in future years.</w:t>
      </w:r>
      <w:r w:rsidR="00E152BB">
        <w:t xml:space="preserve">  </w:t>
      </w:r>
      <w:r w:rsidR="00D75CF4">
        <w:t>The impact of this income reduction</w:t>
      </w:r>
      <w:r w:rsidR="00E152BB">
        <w:t xml:space="preserve"> </w:t>
      </w:r>
      <w:r w:rsidR="00D75CF4">
        <w:t>is further discussed below.</w:t>
      </w:r>
    </w:p>
    <w:p w14:paraId="28728759" w14:textId="633B3E67" w:rsidR="00A374E4" w:rsidRDefault="00A374E4" w:rsidP="00A374E4">
      <w:pPr>
        <w:pStyle w:val="Heading1"/>
        <w:rPr>
          <w:rFonts w:eastAsia="Times New Roman"/>
        </w:rPr>
      </w:pPr>
      <w:r>
        <w:rPr>
          <w:rFonts w:eastAsia="Times New Roman"/>
        </w:rPr>
        <w:lastRenderedPageBreak/>
        <w:t xml:space="preserve">The </w:t>
      </w:r>
      <w:r w:rsidR="0064547A">
        <w:rPr>
          <w:rFonts w:eastAsia="Times New Roman"/>
        </w:rPr>
        <w:t>General Fund</w:t>
      </w:r>
      <w:r>
        <w:rPr>
          <w:rFonts w:eastAsia="Times New Roman"/>
        </w:rPr>
        <w:t>:</w:t>
      </w:r>
    </w:p>
    <w:p w14:paraId="79F6972F" w14:textId="17ED1C8D" w:rsidR="00C07BE9" w:rsidRDefault="00330EC2" w:rsidP="00E939D8">
      <w:pPr>
        <w:jc w:val="both"/>
      </w:pPr>
      <w:r>
        <w:t xml:space="preserve">The normal day-to-day income and expenditure for the church is recorded in the General Fund.  </w:t>
      </w:r>
      <w:r w:rsidR="00FF18BC">
        <w:t>For many years, expenditure has exceeded income in the General Fund by some considerable margin.  The income, expenditure and shortfall for the last seven years are shown in the table below:</w:t>
      </w:r>
    </w:p>
    <w:tbl>
      <w:tblPr>
        <w:tblStyle w:val="TableGrid"/>
        <w:tblW w:w="0" w:type="auto"/>
        <w:tblLook w:val="04A0" w:firstRow="1" w:lastRow="0" w:firstColumn="1" w:lastColumn="0" w:noHBand="0" w:noVBand="1"/>
      </w:tblPr>
      <w:tblGrid>
        <w:gridCol w:w="1980"/>
        <w:gridCol w:w="1108"/>
        <w:gridCol w:w="1109"/>
        <w:gridCol w:w="1109"/>
        <w:gridCol w:w="1109"/>
        <w:gridCol w:w="1109"/>
        <w:gridCol w:w="1109"/>
        <w:gridCol w:w="1109"/>
      </w:tblGrid>
      <w:tr w:rsidR="00C56D48" w:rsidRPr="004272F8" w14:paraId="6030DFB0" w14:textId="77777777" w:rsidTr="004272F8">
        <w:tc>
          <w:tcPr>
            <w:tcW w:w="1980" w:type="dxa"/>
            <w:vAlign w:val="center"/>
          </w:tcPr>
          <w:p w14:paraId="03107294" w14:textId="1766EC28" w:rsidR="00C56D48" w:rsidRPr="004272F8" w:rsidRDefault="004272F8" w:rsidP="004272F8">
            <w:pPr>
              <w:rPr>
                <w:b/>
                <w:bCs/>
              </w:rPr>
            </w:pPr>
            <w:r>
              <w:rPr>
                <w:b/>
                <w:bCs/>
              </w:rPr>
              <w:t>£</w:t>
            </w:r>
          </w:p>
        </w:tc>
        <w:tc>
          <w:tcPr>
            <w:tcW w:w="1108" w:type="dxa"/>
            <w:vAlign w:val="center"/>
          </w:tcPr>
          <w:p w14:paraId="6B2EA849" w14:textId="625496B9" w:rsidR="00C56D48" w:rsidRPr="004272F8" w:rsidRDefault="00C56D48" w:rsidP="004272F8">
            <w:pPr>
              <w:jc w:val="center"/>
              <w:rPr>
                <w:b/>
                <w:bCs/>
              </w:rPr>
            </w:pPr>
            <w:r w:rsidRPr="004272F8">
              <w:rPr>
                <w:b/>
                <w:bCs/>
              </w:rPr>
              <w:t>2015</w:t>
            </w:r>
          </w:p>
        </w:tc>
        <w:tc>
          <w:tcPr>
            <w:tcW w:w="1109" w:type="dxa"/>
            <w:vAlign w:val="center"/>
          </w:tcPr>
          <w:p w14:paraId="77FAE2D7" w14:textId="76B42A1C" w:rsidR="00C56D48" w:rsidRPr="004272F8" w:rsidRDefault="00C56D48" w:rsidP="004272F8">
            <w:pPr>
              <w:jc w:val="center"/>
              <w:rPr>
                <w:b/>
                <w:bCs/>
              </w:rPr>
            </w:pPr>
            <w:r w:rsidRPr="004272F8">
              <w:rPr>
                <w:b/>
                <w:bCs/>
              </w:rPr>
              <w:t>2016</w:t>
            </w:r>
          </w:p>
        </w:tc>
        <w:tc>
          <w:tcPr>
            <w:tcW w:w="1109" w:type="dxa"/>
            <w:vAlign w:val="center"/>
          </w:tcPr>
          <w:p w14:paraId="6EDD48B7" w14:textId="7073F97D" w:rsidR="00C56D48" w:rsidRPr="004272F8" w:rsidRDefault="00C56D48" w:rsidP="004272F8">
            <w:pPr>
              <w:jc w:val="center"/>
              <w:rPr>
                <w:b/>
                <w:bCs/>
              </w:rPr>
            </w:pPr>
            <w:r w:rsidRPr="004272F8">
              <w:rPr>
                <w:b/>
                <w:bCs/>
              </w:rPr>
              <w:t>2017</w:t>
            </w:r>
          </w:p>
        </w:tc>
        <w:tc>
          <w:tcPr>
            <w:tcW w:w="1109" w:type="dxa"/>
            <w:vAlign w:val="center"/>
          </w:tcPr>
          <w:p w14:paraId="3A3B8300" w14:textId="7D8D5904" w:rsidR="00C56D48" w:rsidRPr="004272F8" w:rsidRDefault="00C56D48" w:rsidP="004272F8">
            <w:pPr>
              <w:jc w:val="center"/>
              <w:rPr>
                <w:b/>
                <w:bCs/>
              </w:rPr>
            </w:pPr>
            <w:r w:rsidRPr="004272F8">
              <w:rPr>
                <w:b/>
                <w:bCs/>
              </w:rPr>
              <w:t>2018</w:t>
            </w:r>
          </w:p>
        </w:tc>
        <w:tc>
          <w:tcPr>
            <w:tcW w:w="1109" w:type="dxa"/>
            <w:vAlign w:val="center"/>
          </w:tcPr>
          <w:p w14:paraId="181D6DD8" w14:textId="692D17CE" w:rsidR="00C56D48" w:rsidRPr="004272F8" w:rsidRDefault="00C56D48" w:rsidP="004272F8">
            <w:pPr>
              <w:jc w:val="center"/>
              <w:rPr>
                <w:b/>
                <w:bCs/>
              </w:rPr>
            </w:pPr>
            <w:r w:rsidRPr="004272F8">
              <w:rPr>
                <w:b/>
                <w:bCs/>
              </w:rPr>
              <w:t>2019</w:t>
            </w:r>
          </w:p>
        </w:tc>
        <w:tc>
          <w:tcPr>
            <w:tcW w:w="1109" w:type="dxa"/>
            <w:vAlign w:val="center"/>
          </w:tcPr>
          <w:p w14:paraId="3C0BBEF3" w14:textId="69EC9DDC" w:rsidR="00C56D48" w:rsidRPr="004272F8" w:rsidRDefault="00C56D48" w:rsidP="004272F8">
            <w:pPr>
              <w:jc w:val="center"/>
              <w:rPr>
                <w:b/>
                <w:bCs/>
              </w:rPr>
            </w:pPr>
            <w:r w:rsidRPr="004272F8">
              <w:rPr>
                <w:b/>
                <w:bCs/>
              </w:rPr>
              <w:t>2020</w:t>
            </w:r>
          </w:p>
        </w:tc>
        <w:tc>
          <w:tcPr>
            <w:tcW w:w="1109" w:type="dxa"/>
            <w:vAlign w:val="center"/>
          </w:tcPr>
          <w:p w14:paraId="29A9550F" w14:textId="5E2FC871" w:rsidR="00C56D48" w:rsidRPr="004272F8" w:rsidRDefault="00C56D48" w:rsidP="004272F8">
            <w:pPr>
              <w:jc w:val="center"/>
              <w:rPr>
                <w:b/>
                <w:bCs/>
              </w:rPr>
            </w:pPr>
            <w:r w:rsidRPr="004272F8">
              <w:rPr>
                <w:b/>
                <w:bCs/>
              </w:rPr>
              <w:t>2021</w:t>
            </w:r>
          </w:p>
        </w:tc>
      </w:tr>
      <w:tr w:rsidR="00C56D48" w14:paraId="70EDF2BB" w14:textId="77777777" w:rsidTr="00B9246F">
        <w:tc>
          <w:tcPr>
            <w:tcW w:w="1980" w:type="dxa"/>
            <w:vAlign w:val="center"/>
          </w:tcPr>
          <w:p w14:paraId="4A68C2D0" w14:textId="6D2A0622" w:rsidR="00C56D48" w:rsidRDefault="00C56D48" w:rsidP="004272F8">
            <w:r>
              <w:t>Income</w:t>
            </w:r>
          </w:p>
        </w:tc>
        <w:tc>
          <w:tcPr>
            <w:tcW w:w="1108" w:type="dxa"/>
            <w:vAlign w:val="center"/>
          </w:tcPr>
          <w:p w14:paraId="4E024877" w14:textId="04EC3014" w:rsidR="00C56D48" w:rsidRDefault="00C56D48" w:rsidP="00B9246F">
            <w:pPr>
              <w:jc w:val="right"/>
            </w:pPr>
            <w:r>
              <w:t>20,429</w:t>
            </w:r>
          </w:p>
        </w:tc>
        <w:tc>
          <w:tcPr>
            <w:tcW w:w="1109" w:type="dxa"/>
            <w:vAlign w:val="center"/>
          </w:tcPr>
          <w:p w14:paraId="48A2DBCA" w14:textId="178968A0" w:rsidR="00C56D48" w:rsidRDefault="00C56D48" w:rsidP="00B9246F">
            <w:pPr>
              <w:jc w:val="right"/>
            </w:pPr>
            <w:r>
              <w:t>19,616</w:t>
            </w:r>
          </w:p>
        </w:tc>
        <w:tc>
          <w:tcPr>
            <w:tcW w:w="1109" w:type="dxa"/>
            <w:vAlign w:val="center"/>
          </w:tcPr>
          <w:p w14:paraId="2AD6B711" w14:textId="0D7F7B13" w:rsidR="00C56D48" w:rsidRDefault="00C56D48" w:rsidP="00B9246F">
            <w:pPr>
              <w:jc w:val="right"/>
            </w:pPr>
            <w:r>
              <w:t>23,900</w:t>
            </w:r>
          </w:p>
        </w:tc>
        <w:tc>
          <w:tcPr>
            <w:tcW w:w="1109" w:type="dxa"/>
            <w:vAlign w:val="center"/>
          </w:tcPr>
          <w:p w14:paraId="0A39C31F" w14:textId="27521D9E" w:rsidR="00C56D48" w:rsidRDefault="00C56D48" w:rsidP="00B9246F">
            <w:pPr>
              <w:jc w:val="right"/>
            </w:pPr>
            <w:r>
              <w:t>22,146</w:t>
            </w:r>
          </w:p>
        </w:tc>
        <w:tc>
          <w:tcPr>
            <w:tcW w:w="1109" w:type="dxa"/>
            <w:vAlign w:val="center"/>
          </w:tcPr>
          <w:p w14:paraId="64FF3BB9" w14:textId="2E81B944" w:rsidR="00C56D48" w:rsidRDefault="00C56D48" w:rsidP="00B9246F">
            <w:pPr>
              <w:jc w:val="right"/>
            </w:pPr>
            <w:r>
              <w:t>21,97</w:t>
            </w:r>
            <w:r w:rsidR="009545CC">
              <w:t>3</w:t>
            </w:r>
          </w:p>
        </w:tc>
        <w:tc>
          <w:tcPr>
            <w:tcW w:w="1109" w:type="dxa"/>
            <w:vAlign w:val="center"/>
          </w:tcPr>
          <w:p w14:paraId="2EA322A4" w14:textId="4A9A54F3" w:rsidR="00C56D48" w:rsidRDefault="00B9246F" w:rsidP="00B9246F">
            <w:pPr>
              <w:jc w:val="right"/>
            </w:pPr>
            <w:r>
              <w:t>13,918</w:t>
            </w:r>
          </w:p>
        </w:tc>
        <w:tc>
          <w:tcPr>
            <w:tcW w:w="1109" w:type="dxa"/>
            <w:vAlign w:val="center"/>
          </w:tcPr>
          <w:p w14:paraId="4374BFC6" w14:textId="66E86FF5" w:rsidR="00C56D48" w:rsidRDefault="00C56D48" w:rsidP="00B9246F">
            <w:pPr>
              <w:jc w:val="right"/>
            </w:pPr>
            <w:r>
              <w:t>20,971</w:t>
            </w:r>
          </w:p>
        </w:tc>
      </w:tr>
      <w:tr w:rsidR="00C56D48" w14:paraId="5A2682D3" w14:textId="77777777" w:rsidTr="00B9246F">
        <w:tc>
          <w:tcPr>
            <w:tcW w:w="1980" w:type="dxa"/>
            <w:vAlign w:val="center"/>
          </w:tcPr>
          <w:p w14:paraId="0DC9BD0F" w14:textId="334714E5" w:rsidR="00C56D48" w:rsidRDefault="00C56D48" w:rsidP="004272F8">
            <w:r>
              <w:t>Expenditure</w:t>
            </w:r>
          </w:p>
        </w:tc>
        <w:tc>
          <w:tcPr>
            <w:tcW w:w="1108" w:type="dxa"/>
            <w:vAlign w:val="center"/>
          </w:tcPr>
          <w:p w14:paraId="0F66B315" w14:textId="09749BCE" w:rsidR="00C56D48" w:rsidRDefault="004272F8" w:rsidP="00B9246F">
            <w:pPr>
              <w:jc w:val="right"/>
            </w:pPr>
            <w:r>
              <w:t>37,203</w:t>
            </w:r>
          </w:p>
        </w:tc>
        <w:tc>
          <w:tcPr>
            <w:tcW w:w="1109" w:type="dxa"/>
            <w:vAlign w:val="center"/>
          </w:tcPr>
          <w:p w14:paraId="71F0DCCE" w14:textId="10F4E5D2" w:rsidR="00C56D48" w:rsidRDefault="004272F8" w:rsidP="00B9246F">
            <w:pPr>
              <w:jc w:val="right"/>
            </w:pPr>
            <w:r>
              <w:t>32,767</w:t>
            </w:r>
          </w:p>
        </w:tc>
        <w:tc>
          <w:tcPr>
            <w:tcW w:w="1109" w:type="dxa"/>
            <w:vAlign w:val="center"/>
          </w:tcPr>
          <w:p w14:paraId="4053C32C" w14:textId="3C3252ED" w:rsidR="00C56D48" w:rsidRDefault="004272F8" w:rsidP="00B9246F">
            <w:pPr>
              <w:jc w:val="right"/>
            </w:pPr>
            <w:r>
              <w:t>33,569</w:t>
            </w:r>
          </w:p>
        </w:tc>
        <w:tc>
          <w:tcPr>
            <w:tcW w:w="1109" w:type="dxa"/>
            <w:vAlign w:val="center"/>
          </w:tcPr>
          <w:p w14:paraId="68733E08" w14:textId="55A6574E" w:rsidR="00C56D48" w:rsidRDefault="004272F8" w:rsidP="00B9246F">
            <w:pPr>
              <w:jc w:val="right"/>
            </w:pPr>
            <w:r>
              <w:t>38,577</w:t>
            </w:r>
          </w:p>
        </w:tc>
        <w:tc>
          <w:tcPr>
            <w:tcW w:w="1109" w:type="dxa"/>
            <w:vAlign w:val="center"/>
          </w:tcPr>
          <w:p w14:paraId="281FAAF3" w14:textId="4A7149EC" w:rsidR="00C56D48" w:rsidRDefault="004272F8" w:rsidP="00B9246F">
            <w:pPr>
              <w:jc w:val="right"/>
            </w:pPr>
            <w:r>
              <w:t>4</w:t>
            </w:r>
            <w:r w:rsidR="009545CC">
              <w:t>8,430</w:t>
            </w:r>
          </w:p>
        </w:tc>
        <w:tc>
          <w:tcPr>
            <w:tcW w:w="1109" w:type="dxa"/>
            <w:vAlign w:val="center"/>
          </w:tcPr>
          <w:p w14:paraId="61EDF149" w14:textId="4869F0A8" w:rsidR="00C56D48" w:rsidRDefault="00B9246F" w:rsidP="00B9246F">
            <w:pPr>
              <w:jc w:val="right"/>
            </w:pPr>
            <w:r>
              <w:t>34,292</w:t>
            </w:r>
          </w:p>
        </w:tc>
        <w:tc>
          <w:tcPr>
            <w:tcW w:w="1109" w:type="dxa"/>
            <w:vAlign w:val="center"/>
          </w:tcPr>
          <w:p w14:paraId="004E6287" w14:textId="6D935D09" w:rsidR="00C56D48" w:rsidRDefault="004272F8" w:rsidP="00B9246F">
            <w:pPr>
              <w:jc w:val="right"/>
            </w:pPr>
            <w:r>
              <w:t>33,442</w:t>
            </w:r>
          </w:p>
        </w:tc>
      </w:tr>
      <w:tr w:rsidR="00C56D48" w14:paraId="3100D955" w14:textId="77777777" w:rsidTr="00B9246F">
        <w:tc>
          <w:tcPr>
            <w:tcW w:w="1980" w:type="dxa"/>
            <w:vAlign w:val="center"/>
          </w:tcPr>
          <w:p w14:paraId="5E6EF526" w14:textId="700EB1CD" w:rsidR="00C56D48" w:rsidRDefault="00C56D48" w:rsidP="004272F8">
            <w:r>
              <w:t>Shortfall</w:t>
            </w:r>
          </w:p>
        </w:tc>
        <w:tc>
          <w:tcPr>
            <w:tcW w:w="1108" w:type="dxa"/>
            <w:vAlign w:val="center"/>
          </w:tcPr>
          <w:p w14:paraId="61BF96FB" w14:textId="66D4CDA3" w:rsidR="00C56D48" w:rsidRDefault="004272F8" w:rsidP="00B9246F">
            <w:pPr>
              <w:jc w:val="right"/>
            </w:pPr>
            <w:r>
              <w:t>(16,774)</w:t>
            </w:r>
          </w:p>
        </w:tc>
        <w:tc>
          <w:tcPr>
            <w:tcW w:w="1109" w:type="dxa"/>
            <w:vAlign w:val="center"/>
          </w:tcPr>
          <w:p w14:paraId="0E1015C5" w14:textId="7FD94B05" w:rsidR="00C56D48" w:rsidRDefault="004272F8" w:rsidP="00B9246F">
            <w:pPr>
              <w:jc w:val="right"/>
            </w:pPr>
            <w:r>
              <w:t>(13,151)</w:t>
            </w:r>
          </w:p>
        </w:tc>
        <w:tc>
          <w:tcPr>
            <w:tcW w:w="1109" w:type="dxa"/>
            <w:vAlign w:val="center"/>
          </w:tcPr>
          <w:p w14:paraId="1A1FE057" w14:textId="1064DD8C" w:rsidR="00C56D48" w:rsidRDefault="004272F8" w:rsidP="00B9246F">
            <w:pPr>
              <w:jc w:val="right"/>
            </w:pPr>
            <w:r>
              <w:t>(9,669)</w:t>
            </w:r>
          </w:p>
        </w:tc>
        <w:tc>
          <w:tcPr>
            <w:tcW w:w="1109" w:type="dxa"/>
            <w:vAlign w:val="center"/>
          </w:tcPr>
          <w:p w14:paraId="53EE1ECE" w14:textId="6456952D" w:rsidR="00C56D48" w:rsidRDefault="004272F8" w:rsidP="00B9246F">
            <w:pPr>
              <w:jc w:val="right"/>
            </w:pPr>
            <w:r>
              <w:t>(16,431)</w:t>
            </w:r>
          </w:p>
        </w:tc>
        <w:tc>
          <w:tcPr>
            <w:tcW w:w="1109" w:type="dxa"/>
            <w:vAlign w:val="center"/>
          </w:tcPr>
          <w:p w14:paraId="71209D53" w14:textId="6A0D6A53" w:rsidR="00C56D48" w:rsidRDefault="004272F8" w:rsidP="00B9246F">
            <w:pPr>
              <w:jc w:val="right"/>
            </w:pPr>
            <w:r>
              <w:t>(</w:t>
            </w:r>
            <w:r w:rsidR="009545CC">
              <w:t>26,457</w:t>
            </w:r>
            <w:r>
              <w:t>)</w:t>
            </w:r>
          </w:p>
        </w:tc>
        <w:tc>
          <w:tcPr>
            <w:tcW w:w="1109" w:type="dxa"/>
            <w:vAlign w:val="center"/>
          </w:tcPr>
          <w:p w14:paraId="0B4066DA" w14:textId="16F22303" w:rsidR="00C56D48" w:rsidRDefault="00B9246F" w:rsidP="00B9246F">
            <w:pPr>
              <w:jc w:val="right"/>
            </w:pPr>
            <w:r>
              <w:t>(20,374)</w:t>
            </w:r>
          </w:p>
        </w:tc>
        <w:tc>
          <w:tcPr>
            <w:tcW w:w="1109" w:type="dxa"/>
            <w:vAlign w:val="center"/>
          </w:tcPr>
          <w:p w14:paraId="40B669AD" w14:textId="472F3959" w:rsidR="00C56D48" w:rsidRDefault="004272F8" w:rsidP="00B9246F">
            <w:pPr>
              <w:jc w:val="right"/>
            </w:pPr>
            <w:r>
              <w:t>(12,471)</w:t>
            </w:r>
          </w:p>
        </w:tc>
      </w:tr>
    </w:tbl>
    <w:p w14:paraId="662076F8" w14:textId="0B234C15" w:rsidR="00C56D48" w:rsidRDefault="00FF18BC" w:rsidP="00E939D8">
      <w:pPr>
        <w:spacing w:before="160"/>
        <w:jc w:val="both"/>
      </w:pPr>
      <w:r>
        <w:t xml:space="preserve">Whilst the </w:t>
      </w:r>
      <w:r w:rsidR="002B42BB">
        <w:t xml:space="preserve">figures for </w:t>
      </w:r>
      <w:r>
        <w:t xml:space="preserve">2020 and 2021 were </w:t>
      </w:r>
      <w:r w:rsidR="002B42BB">
        <w:t xml:space="preserve">impacted by the pandemic, it is encouraging to see that the deficit for 2021 is the smallest since 2017.  Total income has remained relatively steady at about £20,000 for the last seven years </w:t>
      </w:r>
      <w:r w:rsidR="001F6601">
        <w:t xml:space="preserve">– </w:t>
      </w:r>
      <w:r w:rsidR="002B42BB">
        <w:t xml:space="preserve">apart from 2020 when the church was closed for many months due to the pandemic.  </w:t>
      </w:r>
      <w:r w:rsidR="005C377B">
        <w:t>I</w:t>
      </w:r>
      <w:r w:rsidR="00B31B09">
        <w:t xml:space="preserve">ncome from fund-raising and church activities (weddings, etc.) was significantly reduced in 2020 and 2021.  Therefore, it is good to see that Voluntary Receipts in 2021 have </w:t>
      </w:r>
      <w:r w:rsidR="00891FCA">
        <w:t>increased</w:t>
      </w:r>
      <w:r w:rsidR="0094742B">
        <w:t xml:space="preserve"> and were responsible for over 86% of the total income received</w:t>
      </w:r>
      <w:r w:rsidR="00CB78B5">
        <w:t>:</w:t>
      </w:r>
    </w:p>
    <w:tbl>
      <w:tblPr>
        <w:tblStyle w:val="TableGrid"/>
        <w:tblW w:w="0" w:type="auto"/>
        <w:tblLook w:val="04A0" w:firstRow="1" w:lastRow="0" w:firstColumn="1" w:lastColumn="0" w:noHBand="0" w:noVBand="1"/>
      </w:tblPr>
      <w:tblGrid>
        <w:gridCol w:w="1980"/>
        <w:gridCol w:w="1108"/>
        <w:gridCol w:w="1109"/>
        <w:gridCol w:w="1109"/>
        <w:gridCol w:w="1109"/>
        <w:gridCol w:w="1109"/>
        <w:gridCol w:w="1109"/>
        <w:gridCol w:w="1109"/>
      </w:tblGrid>
      <w:tr w:rsidR="00B9246F" w:rsidRPr="004272F8" w14:paraId="2C9F8B46" w14:textId="77777777" w:rsidTr="003546EB">
        <w:tc>
          <w:tcPr>
            <w:tcW w:w="1980" w:type="dxa"/>
            <w:vAlign w:val="center"/>
          </w:tcPr>
          <w:p w14:paraId="01512961" w14:textId="77777777" w:rsidR="00B9246F" w:rsidRPr="004272F8" w:rsidRDefault="00B9246F" w:rsidP="003546EB">
            <w:pPr>
              <w:rPr>
                <w:b/>
                <w:bCs/>
              </w:rPr>
            </w:pPr>
            <w:r>
              <w:rPr>
                <w:b/>
                <w:bCs/>
              </w:rPr>
              <w:t>£</w:t>
            </w:r>
          </w:p>
        </w:tc>
        <w:tc>
          <w:tcPr>
            <w:tcW w:w="1108" w:type="dxa"/>
            <w:vAlign w:val="center"/>
          </w:tcPr>
          <w:p w14:paraId="21AD2623" w14:textId="77777777" w:rsidR="00B9246F" w:rsidRPr="004272F8" w:rsidRDefault="00B9246F" w:rsidP="003546EB">
            <w:pPr>
              <w:jc w:val="center"/>
              <w:rPr>
                <w:b/>
                <w:bCs/>
              </w:rPr>
            </w:pPr>
            <w:r w:rsidRPr="004272F8">
              <w:rPr>
                <w:b/>
                <w:bCs/>
              </w:rPr>
              <w:t>2015</w:t>
            </w:r>
          </w:p>
        </w:tc>
        <w:tc>
          <w:tcPr>
            <w:tcW w:w="1109" w:type="dxa"/>
            <w:vAlign w:val="center"/>
          </w:tcPr>
          <w:p w14:paraId="0A9CD387" w14:textId="77777777" w:rsidR="00B9246F" w:rsidRPr="004272F8" w:rsidRDefault="00B9246F" w:rsidP="003546EB">
            <w:pPr>
              <w:jc w:val="center"/>
              <w:rPr>
                <w:b/>
                <w:bCs/>
              </w:rPr>
            </w:pPr>
            <w:r w:rsidRPr="004272F8">
              <w:rPr>
                <w:b/>
                <w:bCs/>
              </w:rPr>
              <w:t>2016</w:t>
            </w:r>
          </w:p>
        </w:tc>
        <w:tc>
          <w:tcPr>
            <w:tcW w:w="1109" w:type="dxa"/>
            <w:vAlign w:val="center"/>
          </w:tcPr>
          <w:p w14:paraId="3D6B939C" w14:textId="77777777" w:rsidR="00B9246F" w:rsidRPr="004272F8" w:rsidRDefault="00B9246F" w:rsidP="003546EB">
            <w:pPr>
              <w:jc w:val="center"/>
              <w:rPr>
                <w:b/>
                <w:bCs/>
              </w:rPr>
            </w:pPr>
            <w:r w:rsidRPr="004272F8">
              <w:rPr>
                <w:b/>
                <w:bCs/>
              </w:rPr>
              <w:t>2017</w:t>
            </w:r>
          </w:p>
        </w:tc>
        <w:tc>
          <w:tcPr>
            <w:tcW w:w="1109" w:type="dxa"/>
            <w:vAlign w:val="center"/>
          </w:tcPr>
          <w:p w14:paraId="630A9449" w14:textId="77777777" w:rsidR="00B9246F" w:rsidRPr="004272F8" w:rsidRDefault="00B9246F" w:rsidP="003546EB">
            <w:pPr>
              <w:jc w:val="center"/>
              <w:rPr>
                <w:b/>
                <w:bCs/>
              </w:rPr>
            </w:pPr>
            <w:r w:rsidRPr="004272F8">
              <w:rPr>
                <w:b/>
                <w:bCs/>
              </w:rPr>
              <w:t>2018</w:t>
            </w:r>
          </w:p>
        </w:tc>
        <w:tc>
          <w:tcPr>
            <w:tcW w:w="1109" w:type="dxa"/>
            <w:vAlign w:val="center"/>
          </w:tcPr>
          <w:p w14:paraId="27E79721" w14:textId="77777777" w:rsidR="00B9246F" w:rsidRPr="004272F8" w:rsidRDefault="00B9246F" w:rsidP="003546EB">
            <w:pPr>
              <w:jc w:val="center"/>
              <w:rPr>
                <w:b/>
                <w:bCs/>
              </w:rPr>
            </w:pPr>
            <w:r w:rsidRPr="004272F8">
              <w:rPr>
                <w:b/>
                <w:bCs/>
              </w:rPr>
              <w:t>2019</w:t>
            </w:r>
          </w:p>
        </w:tc>
        <w:tc>
          <w:tcPr>
            <w:tcW w:w="1109" w:type="dxa"/>
            <w:vAlign w:val="center"/>
          </w:tcPr>
          <w:p w14:paraId="7A9D81F6" w14:textId="77777777" w:rsidR="00B9246F" w:rsidRPr="004272F8" w:rsidRDefault="00B9246F" w:rsidP="003546EB">
            <w:pPr>
              <w:jc w:val="center"/>
              <w:rPr>
                <w:b/>
                <w:bCs/>
              </w:rPr>
            </w:pPr>
            <w:r w:rsidRPr="004272F8">
              <w:rPr>
                <w:b/>
                <w:bCs/>
              </w:rPr>
              <w:t>2020</w:t>
            </w:r>
          </w:p>
        </w:tc>
        <w:tc>
          <w:tcPr>
            <w:tcW w:w="1109" w:type="dxa"/>
            <w:vAlign w:val="center"/>
          </w:tcPr>
          <w:p w14:paraId="078FA452" w14:textId="77777777" w:rsidR="00B9246F" w:rsidRPr="004272F8" w:rsidRDefault="00B9246F" w:rsidP="003546EB">
            <w:pPr>
              <w:jc w:val="center"/>
              <w:rPr>
                <w:b/>
                <w:bCs/>
              </w:rPr>
            </w:pPr>
            <w:r w:rsidRPr="004272F8">
              <w:rPr>
                <w:b/>
                <w:bCs/>
              </w:rPr>
              <w:t>2021</w:t>
            </w:r>
          </w:p>
        </w:tc>
      </w:tr>
      <w:tr w:rsidR="00AE174E" w14:paraId="263F4EEA" w14:textId="77777777" w:rsidTr="003546EB">
        <w:tc>
          <w:tcPr>
            <w:tcW w:w="1980" w:type="dxa"/>
            <w:vAlign w:val="center"/>
          </w:tcPr>
          <w:p w14:paraId="252B3A7F" w14:textId="008B6092" w:rsidR="00AE174E" w:rsidRDefault="00AE174E" w:rsidP="003546EB">
            <w:r>
              <w:t xml:space="preserve">Planned </w:t>
            </w:r>
            <w:proofErr w:type="gramStart"/>
            <w:r>
              <w:t>Giving</w:t>
            </w:r>
            <w:proofErr w:type="gramEnd"/>
          </w:p>
        </w:tc>
        <w:tc>
          <w:tcPr>
            <w:tcW w:w="1108" w:type="dxa"/>
            <w:vAlign w:val="center"/>
          </w:tcPr>
          <w:p w14:paraId="066FEB37" w14:textId="4F623709" w:rsidR="00AE174E" w:rsidRDefault="00E200FA" w:rsidP="003546EB">
            <w:pPr>
              <w:jc w:val="right"/>
            </w:pPr>
            <w:r>
              <w:t>9,029</w:t>
            </w:r>
          </w:p>
        </w:tc>
        <w:tc>
          <w:tcPr>
            <w:tcW w:w="1109" w:type="dxa"/>
            <w:vAlign w:val="center"/>
          </w:tcPr>
          <w:p w14:paraId="0E9F3EA0" w14:textId="094A34AD" w:rsidR="00AE174E" w:rsidRDefault="00631118" w:rsidP="003546EB">
            <w:pPr>
              <w:jc w:val="right"/>
            </w:pPr>
            <w:r>
              <w:t>8,344</w:t>
            </w:r>
          </w:p>
        </w:tc>
        <w:tc>
          <w:tcPr>
            <w:tcW w:w="1109" w:type="dxa"/>
            <w:vAlign w:val="center"/>
          </w:tcPr>
          <w:p w14:paraId="0E3248F5" w14:textId="2B6B774D" w:rsidR="00AE174E" w:rsidRDefault="00631118" w:rsidP="003546EB">
            <w:pPr>
              <w:jc w:val="right"/>
            </w:pPr>
            <w:r>
              <w:t>7,819</w:t>
            </w:r>
          </w:p>
        </w:tc>
        <w:tc>
          <w:tcPr>
            <w:tcW w:w="1109" w:type="dxa"/>
            <w:vAlign w:val="center"/>
          </w:tcPr>
          <w:p w14:paraId="3A25A7C3" w14:textId="722C68FF" w:rsidR="00AE174E" w:rsidRDefault="00AE174E" w:rsidP="00AE174E">
            <w:pPr>
              <w:jc w:val="right"/>
            </w:pPr>
            <w:r>
              <w:t>7,998</w:t>
            </w:r>
          </w:p>
        </w:tc>
        <w:tc>
          <w:tcPr>
            <w:tcW w:w="1109" w:type="dxa"/>
            <w:vAlign w:val="center"/>
          </w:tcPr>
          <w:p w14:paraId="51A1A5A0" w14:textId="10B96115" w:rsidR="00AE174E" w:rsidRDefault="00AE174E" w:rsidP="003546EB">
            <w:pPr>
              <w:jc w:val="right"/>
            </w:pPr>
            <w:r>
              <w:t>7,935</w:t>
            </w:r>
          </w:p>
        </w:tc>
        <w:tc>
          <w:tcPr>
            <w:tcW w:w="1109" w:type="dxa"/>
            <w:vAlign w:val="center"/>
          </w:tcPr>
          <w:p w14:paraId="415BD766" w14:textId="260CD551" w:rsidR="00AE174E" w:rsidRDefault="00AE174E" w:rsidP="003546EB">
            <w:pPr>
              <w:jc w:val="right"/>
            </w:pPr>
            <w:r>
              <w:t>8,731</w:t>
            </w:r>
          </w:p>
        </w:tc>
        <w:tc>
          <w:tcPr>
            <w:tcW w:w="1109" w:type="dxa"/>
            <w:vAlign w:val="center"/>
          </w:tcPr>
          <w:p w14:paraId="7B632996" w14:textId="51D2D244" w:rsidR="00AE174E" w:rsidRDefault="005611F3" w:rsidP="003546EB">
            <w:pPr>
              <w:jc w:val="right"/>
            </w:pPr>
            <w:r>
              <w:t>12,278</w:t>
            </w:r>
          </w:p>
        </w:tc>
      </w:tr>
      <w:tr w:rsidR="00AE174E" w14:paraId="3811B9E6" w14:textId="77777777" w:rsidTr="003546EB">
        <w:tc>
          <w:tcPr>
            <w:tcW w:w="1980" w:type="dxa"/>
            <w:vAlign w:val="center"/>
          </w:tcPr>
          <w:p w14:paraId="65C31E61" w14:textId="5590DE21" w:rsidR="00AE174E" w:rsidRDefault="00AE174E" w:rsidP="003546EB">
            <w:r>
              <w:t>Church Collections</w:t>
            </w:r>
          </w:p>
        </w:tc>
        <w:tc>
          <w:tcPr>
            <w:tcW w:w="1108" w:type="dxa"/>
            <w:vAlign w:val="center"/>
          </w:tcPr>
          <w:p w14:paraId="097151FF" w14:textId="2F5AA0A5" w:rsidR="00AE174E" w:rsidRDefault="00D30479" w:rsidP="003546EB">
            <w:pPr>
              <w:jc w:val="right"/>
            </w:pPr>
            <w:r>
              <w:t>3,399</w:t>
            </w:r>
          </w:p>
        </w:tc>
        <w:tc>
          <w:tcPr>
            <w:tcW w:w="1109" w:type="dxa"/>
            <w:vAlign w:val="center"/>
          </w:tcPr>
          <w:p w14:paraId="5B63668C" w14:textId="4DEC8F07" w:rsidR="00AE174E" w:rsidRDefault="00D30479" w:rsidP="003546EB">
            <w:pPr>
              <w:jc w:val="right"/>
            </w:pPr>
            <w:r>
              <w:t>3,207</w:t>
            </w:r>
          </w:p>
        </w:tc>
        <w:tc>
          <w:tcPr>
            <w:tcW w:w="1109" w:type="dxa"/>
            <w:vAlign w:val="center"/>
          </w:tcPr>
          <w:p w14:paraId="0F61EA92" w14:textId="06640C41" w:rsidR="00AE174E" w:rsidRDefault="00D30479" w:rsidP="003546EB">
            <w:pPr>
              <w:jc w:val="right"/>
            </w:pPr>
            <w:r>
              <w:t>3,524</w:t>
            </w:r>
          </w:p>
        </w:tc>
        <w:tc>
          <w:tcPr>
            <w:tcW w:w="1109" w:type="dxa"/>
            <w:vAlign w:val="center"/>
          </w:tcPr>
          <w:p w14:paraId="3A70911F" w14:textId="1CF540E8" w:rsidR="00AE174E" w:rsidRDefault="00AE174E" w:rsidP="003546EB">
            <w:pPr>
              <w:jc w:val="right"/>
            </w:pPr>
            <w:r>
              <w:t>3,684</w:t>
            </w:r>
          </w:p>
        </w:tc>
        <w:tc>
          <w:tcPr>
            <w:tcW w:w="1109" w:type="dxa"/>
            <w:vAlign w:val="center"/>
          </w:tcPr>
          <w:p w14:paraId="0B7C20F1" w14:textId="67BDB127" w:rsidR="00AE174E" w:rsidRDefault="00D30479" w:rsidP="003546EB">
            <w:pPr>
              <w:jc w:val="right"/>
            </w:pPr>
            <w:r>
              <w:t>5,093</w:t>
            </w:r>
          </w:p>
        </w:tc>
        <w:tc>
          <w:tcPr>
            <w:tcW w:w="1109" w:type="dxa"/>
            <w:vAlign w:val="center"/>
          </w:tcPr>
          <w:p w14:paraId="34086663" w14:textId="339F766B" w:rsidR="00AE174E" w:rsidRDefault="00AE174E" w:rsidP="003546EB">
            <w:pPr>
              <w:jc w:val="right"/>
            </w:pPr>
            <w:r>
              <w:t>866</w:t>
            </w:r>
          </w:p>
        </w:tc>
        <w:tc>
          <w:tcPr>
            <w:tcW w:w="1109" w:type="dxa"/>
            <w:vAlign w:val="center"/>
          </w:tcPr>
          <w:p w14:paraId="414CBD94" w14:textId="0EDBBB2E" w:rsidR="00AE174E" w:rsidRDefault="005611F3" w:rsidP="003546EB">
            <w:pPr>
              <w:jc w:val="right"/>
            </w:pPr>
            <w:r>
              <w:t>1,461</w:t>
            </w:r>
          </w:p>
        </w:tc>
      </w:tr>
      <w:tr w:rsidR="00AE174E" w14:paraId="7BFDA34F" w14:textId="77777777" w:rsidTr="003546EB">
        <w:tc>
          <w:tcPr>
            <w:tcW w:w="1980" w:type="dxa"/>
            <w:vAlign w:val="center"/>
          </w:tcPr>
          <w:p w14:paraId="1B156BF2" w14:textId="01026447" w:rsidR="00AE174E" w:rsidRDefault="00AE174E" w:rsidP="003546EB">
            <w:r>
              <w:t>Gift Aid</w:t>
            </w:r>
          </w:p>
        </w:tc>
        <w:tc>
          <w:tcPr>
            <w:tcW w:w="1108" w:type="dxa"/>
            <w:vAlign w:val="center"/>
          </w:tcPr>
          <w:p w14:paraId="1FDAF004" w14:textId="430E9630" w:rsidR="00AE174E" w:rsidRDefault="00D30479" w:rsidP="003546EB">
            <w:pPr>
              <w:jc w:val="right"/>
            </w:pPr>
            <w:r>
              <w:t>1,966</w:t>
            </w:r>
          </w:p>
        </w:tc>
        <w:tc>
          <w:tcPr>
            <w:tcW w:w="1109" w:type="dxa"/>
            <w:vAlign w:val="center"/>
          </w:tcPr>
          <w:p w14:paraId="2D369FC6" w14:textId="5B0EE4F0" w:rsidR="00AE174E" w:rsidRDefault="00D30479" w:rsidP="003546EB">
            <w:pPr>
              <w:jc w:val="right"/>
            </w:pPr>
            <w:r>
              <w:t>2,246</w:t>
            </w:r>
          </w:p>
        </w:tc>
        <w:tc>
          <w:tcPr>
            <w:tcW w:w="1109" w:type="dxa"/>
            <w:vAlign w:val="center"/>
          </w:tcPr>
          <w:p w14:paraId="239C2C00" w14:textId="60FE5935" w:rsidR="00AE174E" w:rsidRDefault="00D30479" w:rsidP="003546EB">
            <w:pPr>
              <w:jc w:val="right"/>
            </w:pPr>
            <w:r>
              <w:t>3,361</w:t>
            </w:r>
          </w:p>
        </w:tc>
        <w:tc>
          <w:tcPr>
            <w:tcW w:w="1109" w:type="dxa"/>
            <w:vAlign w:val="center"/>
          </w:tcPr>
          <w:p w14:paraId="3950B0E6" w14:textId="69753672" w:rsidR="00AE174E" w:rsidRDefault="00AE174E" w:rsidP="003546EB">
            <w:pPr>
              <w:jc w:val="right"/>
            </w:pPr>
            <w:r>
              <w:t>3,639</w:t>
            </w:r>
          </w:p>
        </w:tc>
        <w:tc>
          <w:tcPr>
            <w:tcW w:w="1109" w:type="dxa"/>
            <w:vAlign w:val="center"/>
          </w:tcPr>
          <w:p w14:paraId="679F4A88" w14:textId="064AF4BE" w:rsidR="00AE174E" w:rsidRDefault="00AE174E" w:rsidP="003546EB">
            <w:pPr>
              <w:jc w:val="right"/>
            </w:pPr>
            <w:r>
              <w:t>2.961</w:t>
            </w:r>
          </w:p>
        </w:tc>
        <w:tc>
          <w:tcPr>
            <w:tcW w:w="1109" w:type="dxa"/>
            <w:vAlign w:val="center"/>
          </w:tcPr>
          <w:p w14:paraId="64FB4195" w14:textId="41B9B0AA" w:rsidR="00AE174E" w:rsidRDefault="00AE174E" w:rsidP="003546EB">
            <w:pPr>
              <w:jc w:val="right"/>
            </w:pPr>
            <w:r>
              <w:t>3,162</w:t>
            </w:r>
          </w:p>
        </w:tc>
        <w:tc>
          <w:tcPr>
            <w:tcW w:w="1109" w:type="dxa"/>
            <w:vAlign w:val="center"/>
          </w:tcPr>
          <w:p w14:paraId="160FECD7" w14:textId="773F595C" w:rsidR="00AE174E" w:rsidRDefault="005611F3" w:rsidP="003546EB">
            <w:pPr>
              <w:jc w:val="right"/>
            </w:pPr>
            <w:r>
              <w:t>3,607</w:t>
            </w:r>
          </w:p>
        </w:tc>
      </w:tr>
      <w:tr w:rsidR="00135B30" w14:paraId="5C288398" w14:textId="77777777" w:rsidTr="00B9246F">
        <w:tc>
          <w:tcPr>
            <w:tcW w:w="1980" w:type="dxa"/>
            <w:vAlign w:val="center"/>
          </w:tcPr>
          <w:p w14:paraId="633543D6" w14:textId="5A181FAB" w:rsidR="00135B30" w:rsidRDefault="003A1D58" w:rsidP="003546EB">
            <w:r>
              <w:t>Other</w:t>
            </w:r>
            <w:r w:rsidR="00135B30">
              <w:t xml:space="preserve"> </w:t>
            </w:r>
            <w:r>
              <w:t>Voluntary</w:t>
            </w:r>
          </w:p>
        </w:tc>
        <w:tc>
          <w:tcPr>
            <w:tcW w:w="1108" w:type="dxa"/>
            <w:vAlign w:val="center"/>
          </w:tcPr>
          <w:p w14:paraId="0D7847C1" w14:textId="3330B11D" w:rsidR="00135B30" w:rsidRDefault="00D30479" w:rsidP="00B9246F">
            <w:pPr>
              <w:jc w:val="right"/>
            </w:pPr>
            <w:r>
              <w:t>1,313</w:t>
            </w:r>
          </w:p>
        </w:tc>
        <w:tc>
          <w:tcPr>
            <w:tcW w:w="1109" w:type="dxa"/>
            <w:vAlign w:val="center"/>
          </w:tcPr>
          <w:p w14:paraId="5A6576E0" w14:textId="1870B69B" w:rsidR="00135B30" w:rsidRDefault="00D30479" w:rsidP="00B9246F">
            <w:pPr>
              <w:jc w:val="right"/>
            </w:pPr>
            <w:r>
              <w:t>588</w:t>
            </w:r>
          </w:p>
        </w:tc>
        <w:tc>
          <w:tcPr>
            <w:tcW w:w="1109" w:type="dxa"/>
            <w:vAlign w:val="center"/>
          </w:tcPr>
          <w:p w14:paraId="018E5F52" w14:textId="49B9D1CB" w:rsidR="00135B30" w:rsidRDefault="00D30479" w:rsidP="00B9246F">
            <w:pPr>
              <w:jc w:val="right"/>
            </w:pPr>
            <w:r>
              <w:t>2,114</w:t>
            </w:r>
          </w:p>
        </w:tc>
        <w:tc>
          <w:tcPr>
            <w:tcW w:w="1109" w:type="dxa"/>
            <w:vAlign w:val="center"/>
          </w:tcPr>
          <w:p w14:paraId="4DEB8E80" w14:textId="34CE3E4E" w:rsidR="00135B30" w:rsidRDefault="00D30479" w:rsidP="00B9246F">
            <w:pPr>
              <w:jc w:val="right"/>
            </w:pPr>
            <w:r>
              <w:t>1,826</w:t>
            </w:r>
          </w:p>
        </w:tc>
        <w:tc>
          <w:tcPr>
            <w:tcW w:w="1109" w:type="dxa"/>
            <w:vAlign w:val="center"/>
          </w:tcPr>
          <w:p w14:paraId="60C6A9CD" w14:textId="2093E93E" w:rsidR="00135B30" w:rsidRDefault="00D30479" w:rsidP="00B9246F">
            <w:pPr>
              <w:jc w:val="right"/>
            </w:pPr>
            <w:r>
              <w:t>632</w:t>
            </w:r>
          </w:p>
        </w:tc>
        <w:tc>
          <w:tcPr>
            <w:tcW w:w="1109" w:type="dxa"/>
            <w:vAlign w:val="center"/>
          </w:tcPr>
          <w:p w14:paraId="406D18F4" w14:textId="28149AE1" w:rsidR="00135B30" w:rsidRDefault="002C7CCF" w:rsidP="00B9246F">
            <w:pPr>
              <w:jc w:val="right"/>
            </w:pPr>
            <w:r>
              <w:t>504</w:t>
            </w:r>
          </w:p>
        </w:tc>
        <w:tc>
          <w:tcPr>
            <w:tcW w:w="1109" w:type="dxa"/>
            <w:vAlign w:val="center"/>
          </w:tcPr>
          <w:p w14:paraId="34632FAB" w14:textId="315053B3" w:rsidR="002C7CCF" w:rsidRDefault="002C7CCF" w:rsidP="002C7CCF">
            <w:pPr>
              <w:jc w:val="right"/>
            </w:pPr>
            <w:r>
              <w:t>690</w:t>
            </w:r>
          </w:p>
        </w:tc>
      </w:tr>
      <w:tr w:rsidR="00135B30" w:rsidRPr="003A1D58" w14:paraId="599E101A" w14:textId="77777777" w:rsidTr="00B9246F">
        <w:tc>
          <w:tcPr>
            <w:tcW w:w="1980" w:type="dxa"/>
            <w:vAlign w:val="center"/>
          </w:tcPr>
          <w:p w14:paraId="194D3B35" w14:textId="27D6F6E6" w:rsidR="00135B30" w:rsidRPr="003A1D58" w:rsidRDefault="003A1D58" w:rsidP="003546EB">
            <w:pPr>
              <w:rPr>
                <w:b/>
                <w:bCs/>
              </w:rPr>
            </w:pPr>
            <w:r w:rsidRPr="003A1D58">
              <w:rPr>
                <w:b/>
                <w:bCs/>
              </w:rPr>
              <w:t>Voluntary Receipts</w:t>
            </w:r>
          </w:p>
        </w:tc>
        <w:tc>
          <w:tcPr>
            <w:tcW w:w="1108" w:type="dxa"/>
            <w:vAlign w:val="center"/>
          </w:tcPr>
          <w:p w14:paraId="42E523B1" w14:textId="201B5C1E" w:rsidR="00135B30" w:rsidRPr="003A1D58" w:rsidRDefault="00D30479" w:rsidP="00B9246F">
            <w:pPr>
              <w:jc w:val="right"/>
              <w:rPr>
                <w:b/>
                <w:bCs/>
              </w:rPr>
            </w:pPr>
            <w:r w:rsidRPr="003A1D58">
              <w:rPr>
                <w:b/>
                <w:bCs/>
              </w:rPr>
              <w:t>15,707</w:t>
            </w:r>
          </w:p>
        </w:tc>
        <w:tc>
          <w:tcPr>
            <w:tcW w:w="1109" w:type="dxa"/>
            <w:vAlign w:val="center"/>
          </w:tcPr>
          <w:p w14:paraId="6B97030F" w14:textId="57C7B53D" w:rsidR="00135B30" w:rsidRPr="003A1D58" w:rsidRDefault="00D30479" w:rsidP="00B9246F">
            <w:pPr>
              <w:jc w:val="right"/>
              <w:rPr>
                <w:b/>
                <w:bCs/>
              </w:rPr>
            </w:pPr>
            <w:r w:rsidRPr="003A1D58">
              <w:rPr>
                <w:b/>
                <w:bCs/>
              </w:rPr>
              <w:t>15,485</w:t>
            </w:r>
          </w:p>
        </w:tc>
        <w:tc>
          <w:tcPr>
            <w:tcW w:w="1109" w:type="dxa"/>
            <w:vAlign w:val="center"/>
          </w:tcPr>
          <w:p w14:paraId="1B5D3469" w14:textId="6C877B7D" w:rsidR="00135B30" w:rsidRPr="003A1D58" w:rsidRDefault="00D30479" w:rsidP="00B9246F">
            <w:pPr>
              <w:jc w:val="right"/>
              <w:rPr>
                <w:b/>
                <w:bCs/>
              </w:rPr>
            </w:pPr>
            <w:r w:rsidRPr="003A1D58">
              <w:rPr>
                <w:b/>
                <w:bCs/>
              </w:rPr>
              <w:t>16,818</w:t>
            </w:r>
          </w:p>
        </w:tc>
        <w:tc>
          <w:tcPr>
            <w:tcW w:w="1109" w:type="dxa"/>
            <w:vAlign w:val="center"/>
          </w:tcPr>
          <w:p w14:paraId="61B07197" w14:textId="70AC8668" w:rsidR="00135B30" w:rsidRPr="003A1D58" w:rsidRDefault="00D30479" w:rsidP="00B9246F">
            <w:pPr>
              <w:jc w:val="right"/>
              <w:rPr>
                <w:b/>
                <w:bCs/>
              </w:rPr>
            </w:pPr>
            <w:r w:rsidRPr="003A1D58">
              <w:rPr>
                <w:b/>
                <w:bCs/>
              </w:rPr>
              <w:t>17,147</w:t>
            </w:r>
          </w:p>
        </w:tc>
        <w:tc>
          <w:tcPr>
            <w:tcW w:w="1109" w:type="dxa"/>
            <w:vAlign w:val="center"/>
          </w:tcPr>
          <w:p w14:paraId="490298B4" w14:textId="3B7A52A5" w:rsidR="00135B30" w:rsidRPr="003A1D58" w:rsidRDefault="00D30479" w:rsidP="00B9246F">
            <w:pPr>
              <w:jc w:val="right"/>
              <w:rPr>
                <w:b/>
                <w:bCs/>
              </w:rPr>
            </w:pPr>
            <w:r w:rsidRPr="003A1D58">
              <w:rPr>
                <w:b/>
                <w:bCs/>
              </w:rPr>
              <w:t>16,621</w:t>
            </w:r>
          </w:p>
        </w:tc>
        <w:tc>
          <w:tcPr>
            <w:tcW w:w="1109" w:type="dxa"/>
            <w:vAlign w:val="center"/>
          </w:tcPr>
          <w:p w14:paraId="03A90BFC" w14:textId="187BEDC1" w:rsidR="00135B30" w:rsidRPr="003A1D58" w:rsidRDefault="002C7CCF" w:rsidP="00B9246F">
            <w:pPr>
              <w:jc w:val="right"/>
              <w:rPr>
                <w:b/>
                <w:bCs/>
              </w:rPr>
            </w:pPr>
            <w:r w:rsidRPr="003A1D58">
              <w:rPr>
                <w:b/>
                <w:bCs/>
              </w:rPr>
              <w:t>13,263</w:t>
            </w:r>
          </w:p>
        </w:tc>
        <w:tc>
          <w:tcPr>
            <w:tcW w:w="1109" w:type="dxa"/>
            <w:vAlign w:val="center"/>
          </w:tcPr>
          <w:p w14:paraId="073D66D1" w14:textId="0834BE99" w:rsidR="00135B30" w:rsidRPr="003A1D58" w:rsidRDefault="002C7CCF" w:rsidP="00B9246F">
            <w:pPr>
              <w:jc w:val="right"/>
              <w:rPr>
                <w:b/>
                <w:bCs/>
              </w:rPr>
            </w:pPr>
            <w:r w:rsidRPr="003A1D58">
              <w:rPr>
                <w:b/>
                <w:bCs/>
              </w:rPr>
              <w:t>18,036</w:t>
            </w:r>
          </w:p>
        </w:tc>
      </w:tr>
    </w:tbl>
    <w:p w14:paraId="6D6EC8CF" w14:textId="642A6B70" w:rsidR="002C7CCF" w:rsidRDefault="00891FCA" w:rsidP="00E939D8">
      <w:pPr>
        <w:spacing w:before="160"/>
        <w:jc w:val="both"/>
      </w:pPr>
      <w:r>
        <w:t xml:space="preserve">Planned </w:t>
      </w:r>
      <w:proofErr w:type="gramStart"/>
      <w:r>
        <w:t>Giving</w:t>
      </w:r>
      <w:proofErr w:type="gramEnd"/>
      <w:r>
        <w:t xml:space="preserve"> in 2021 is the highest it has been in the </w:t>
      </w:r>
      <w:r w:rsidR="0094742B">
        <w:t>last s</w:t>
      </w:r>
      <w:r>
        <w:t xml:space="preserve">even years.  The Parish Giving scheme has been well supported and the old Standing Orders have been replaced by new Direct Debit arrangements.  It is also very encouraging to report that there have been some new contributors who have responded to the general appeal </w:t>
      </w:r>
      <w:r w:rsidR="00F84F7D">
        <w:t>that was</w:t>
      </w:r>
      <w:r>
        <w:t xml:space="preserve"> made to the village.</w:t>
      </w:r>
    </w:p>
    <w:p w14:paraId="11528BDC" w14:textId="1604C431" w:rsidR="00CB78B5" w:rsidRDefault="005C377B" w:rsidP="00E939D8">
      <w:pPr>
        <w:spacing w:before="160"/>
        <w:jc w:val="both"/>
      </w:pPr>
      <w:r>
        <w:t>The Parish Share (</w:t>
      </w:r>
      <w:r w:rsidR="00E966A6">
        <w:t>£20,834) represent</w:t>
      </w:r>
      <w:r w:rsidR="00E939D8">
        <w:t>ed</w:t>
      </w:r>
      <w:r w:rsidR="00E966A6">
        <w:t xml:space="preserve"> the largest individual cost within the 2021 </w:t>
      </w:r>
      <w:r w:rsidR="00F84F7D">
        <w:t>General Fund expenditure</w:t>
      </w:r>
      <w:r w:rsidR="00E966A6">
        <w:t xml:space="preserve"> (£33,442)</w:t>
      </w:r>
      <w:r w:rsidR="00322858">
        <w:t xml:space="preserve"> and covers the allocated share of the costs </w:t>
      </w:r>
      <w:r w:rsidR="00320193">
        <w:t>related to the</w:t>
      </w:r>
      <w:r w:rsidR="00322858">
        <w:t xml:space="preserve"> Clergy</w:t>
      </w:r>
      <w:r w:rsidR="00E966A6">
        <w:t xml:space="preserve">.  All other expenditure on insurance, heating, security, etc. has been </w:t>
      </w:r>
      <w:r w:rsidR="00CB78B5">
        <w:t>managed carefully throughout the year.</w:t>
      </w:r>
    </w:p>
    <w:p w14:paraId="64ADBB42" w14:textId="679098DB" w:rsidR="00F84F7D" w:rsidRDefault="003C7E76" w:rsidP="00E939D8">
      <w:pPr>
        <w:spacing w:before="160"/>
        <w:jc w:val="both"/>
      </w:pPr>
      <w:r>
        <w:t>Over the previous 10 years</w:t>
      </w:r>
      <w:r w:rsidR="00CB78B5">
        <w:t xml:space="preserve">, the shortfall in income has been covered by </w:t>
      </w:r>
      <w:r w:rsidR="00740D46">
        <w:t xml:space="preserve">transferring </w:t>
      </w:r>
      <w:r w:rsidR="00CB78B5">
        <w:t xml:space="preserve">the </w:t>
      </w:r>
      <w:r w:rsidR="00744CE5">
        <w:t xml:space="preserve">dividend income </w:t>
      </w:r>
      <w:r w:rsidR="00CB78B5">
        <w:t xml:space="preserve">and </w:t>
      </w:r>
      <w:r w:rsidR="00744CE5">
        <w:t xml:space="preserve">interest </w:t>
      </w:r>
      <w:r w:rsidR="00CB78B5">
        <w:t>received from the investments</w:t>
      </w:r>
      <w:r w:rsidR="00874E28">
        <w:t xml:space="preserve"> into the General Fund</w:t>
      </w:r>
      <w:r w:rsidR="00CB78B5">
        <w:t>.  In 2021</w:t>
      </w:r>
      <w:r w:rsidR="00744CE5">
        <w:t xml:space="preserve">, with the allocation of the investments to </w:t>
      </w:r>
      <w:r w:rsidR="00874E28">
        <w:t>specific</w:t>
      </w:r>
      <w:r w:rsidR="00744CE5">
        <w:t xml:space="preserve"> funds, the dividend income for the General Fund has been significantly reduced, as shown in the table below.  The </w:t>
      </w:r>
      <w:r w:rsidR="00740D46">
        <w:t xml:space="preserve">income </w:t>
      </w:r>
      <w:r w:rsidR="00744CE5">
        <w:t xml:space="preserve">shortfall in 2021 </w:t>
      </w:r>
      <w:r w:rsidR="00740D46">
        <w:t>had to be covered</w:t>
      </w:r>
      <w:r w:rsidR="00744CE5">
        <w:t xml:space="preserve"> by the sale of investment shares (£15,000)</w:t>
      </w:r>
      <w:r w:rsidR="00F432AB">
        <w:t xml:space="preserve">.  This </w:t>
      </w:r>
      <w:r w:rsidR="00740D46">
        <w:t>sale</w:t>
      </w:r>
      <w:r w:rsidR="00F432AB">
        <w:t xml:space="preserve"> of investments also </w:t>
      </w:r>
      <w:r w:rsidR="00740D46">
        <w:t>addressed</w:t>
      </w:r>
      <w:r w:rsidR="00F432AB">
        <w:t xml:space="preserve"> the opening negative bank balance for the General Fund.</w:t>
      </w:r>
    </w:p>
    <w:tbl>
      <w:tblPr>
        <w:tblStyle w:val="TableGrid"/>
        <w:tblW w:w="0" w:type="auto"/>
        <w:tblLook w:val="04A0" w:firstRow="1" w:lastRow="0" w:firstColumn="1" w:lastColumn="0" w:noHBand="0" w:noVBand="1"/>
      </w:tblPr>
      <w:tblGrid>
        <w:gridCol w:w="1980"/>
        <w:gridCol w:w="1108"/>
        <w:gridCol w:w="1109"/>
        <w:gridCol w:w="1109"/>
        <w:gridCol w:w="1109"/>
        <w:gridCol w:w="1109"/>
        <w:gridCol w:w="1109"/>
        <w:gridCol w:w="1109"/>
      </w:tblGrid>
      <w:tr w:rsidR="002C7CCF" w:rsidRPr="004272F8" w14:paraId="1458715A" w14:textId="77777777" w:rsidTr="003546EB">
        <w:tc>
          <w:tcPr>
            <w:tcW w:w="1980" w:type="dxa"/>
            <w:vAlign w:val="center"/>
          </w:tcPr>
          <w:p w14:paraId="11929A2C" w14:textId="20015035" w:rsidR="002C7CCF" w:rsidRPr="004272F8" w:rsidRDefault="002C7CCF" w:rsidP="003546EB">
            <w:pPr>
              <w:rPr>
                <w:b/>
                <w:bCs/>
              </w:rPr>
            </w:pPr>
            <w:r>
              <w:rPr>
                <w:b/>
                <w:bCs/>
              </w:rPr>
              <w:t>£</w:t>
            </w:r>
          </w:p>
        </w:tc>
        <w:tc>
          <w:tcPr>
            <w:tcW w:w="1108" w:type="dxa"/>
            <w:vAlign w:val="center"/>
          </w:tcPr>
          <w:p w14:paraId="40315669" w14:textId="77777777" w:rsidR="002C7CCF" w:rsidRPr="004272F8" w:rsidRDefault="002C7CCF" w:rsidP="003546EB">
            <w:pPr>
              <w:jc w:val="center"/>
              <w:rPr>
                <w:b/>
                <w:bCs/>
              </w:rPr>
            </w:pPr>
            <w:r w:rsidRPr="004272F8">
              <w:rPr>
                <w:b/>
                <w:bCs/>
              </w:rPr>
              <w:t>2015</w:t>
            </w:r>
          </w:p>
        </w:tc>
        <w:tc>
          <w:tcPr>
            <w:tcW w:w="1109" w:type="dxa"/>
            <w:vAlign w:val="center"/>
          </w:tcPr>
          <w:p w14:paraId="3FCCDE79" w14:textId="77777777" w:rsidR="002C7CCF" w:rsidRPr="004272F8" w:rsidRDefault="002C7CCF" w:rsidP="003546EB">
            <w:pPr>
              <w:jc w:val="center"/>
              <w:rPr>
                <w:b/>
                <w:bCs/>
              </w:rPr>
            </w:pPr>
            <w:r w:rsidRPr="004272F8">
              <w:rPr>
                <w:b/>
                <w:bCs/>
              </w:rPr>
              <w:t>2016</w:t>
            </w:r>
          </w:p>
        </w:tc>
        <w:tc>
          <w:tcPr>
            <w:tcW w:w="1109" w:type="dxa"/>
            <w:vAlign w:val="center"/>
          </w:tcPr>
          <w:p w14:paraId="317FAA1D" w14:textId="77777777" w:rsidR="002C7CCF" w:rsidRPr="004272F8" w:rsidRDefault="002C7CCF" w:rsidP="003546EB">
            <w:pPr>
              <w:jc w:val="center"/>
              <w:rPr>
                <w:b/>
                <w:bCs/>
              </w:rPr>
            </w:pPr>
            <w:r w:rsidRPr="004272F8">
              <w:rPr>
                <w:b/>
                <w:bCs/>
              </w:rPr>
              <w:t>2017</w:t>
            </w:r>
          </w:p>
        </w:tc>
        <w:tc>
          <w:tcPr>
            <w:tcW w:w="1109" w:type="dxa"/>
            <w:vAlign w:val="center"/>
          </w:tcPr>
          <w:p w14:paraId="09ADF26E" w14:textId="77777777" w:rsidR="002C7CCF" w:rsidRPr="004272F8" w:rsidRDefault="002C7CCF" w:rsidP="003546EB">
            <w:pPr>
              <w:jc w:val="center"/>
              <w:rPr>
                <w:b/>
                <w:bCs/>
              </w:rPr>
            </w:pPr>
            <w:r w:rsidRPr="004272F8">
              <w:rPr>
                <w:b/>
                <w:bCs/>
              </w:rPr>
              <w:t>2018</w:t>
            </w:r>
          </w:p>
        </w:tc>
        <w:tc>
          <w:tcPr>
            <w:tcW w:w="1109" w:type="dxa"/>
            <w:vAlign w:val="center"/>
          </w:tcPr>
          <w:p w14:paraId="713A1BE8" w14:textId="77777777" w:rsidR="002C7CCF" w:rsidRPr="004272F8" w:rsidRDefault="002C7CCF" w:rsidP="003546EB">
            <w:pPr>
              <w:jc w:val="center"/>
              <w:rPr>
                <w:b/>
                <w:bCs/>
              </w:rPr>
            </w:pPr>
            <w:r w:rsidRPr="004272F8">
              <w:rPr>
                <w:b/>
                <w:bCs/>
              </w:rPr>
              <w:t>2019</w:t>
            </w:r>
          </w:p>
        </w:tc>
        <w:tc>
          <w:tcPr>
            <w:tcW w:w="1109" w:type="dxa"/>
            <w:vAlign w:val="center"/>
          </w:tcPr>
          <w:p w14:paraId="5D4D8B17" w14:textId="77777777" w:rsidR="002C7CCF" w:rsidRPr="004272F8" w:rsidRDefault="002C7CCF" w:rsidP="003546EB">
            <w:pPr>
              <w:jc w:val="center"/>
              <w:rPr>
                <w:b/>
                <w:bCs/>
              </w:rPr>
            </w:pPr>
            <w:r w:rsidRPr="004272F8">
              <w:rPr>
                <w:b/>
                <w:bCs/>
              </w:rPr>
              <w:t>2020</w:t>
            </w:r>
          </w:p>
        </w:tc>
        <w:tc>
          <w:tcPr>
            <w:tcW w:w="1109" w:type="dxa"/>
            <w:vAlign w:val="center"/>
          </w:tcPr>
          <w:p w14:paraId="02DDDC48" w14:textId="77777777" w:rsidR="002C7CCF" w:rsidRPr="004272F8" w:rsidRDefault="002C7CCF" w:rsidP="003546EB">
            <w:pPr>
              <w:jc w:val="center"/>
              <w:rPr>
                <w:b/>
                <w:bCs/>
              </w:rPr>
            </w:pPr>
            <w:r w:rsidRPr="004272F8">
              <w:rPr>
                <w:b/>
                <w:bCs/>
              </w:rPr>
              <w:t>2021</w:t>
            </w:r>
          </w:p>
        </w:tc>
      </w:tr>
      <w:tr w:rsidR="00B9246F" w14:paraId="19FFBFE9" w14:textId="77777777" w:rsidTr="00B9246F">
        <w:tc>
          <w:tcPr>
            <w:tcW w:w="1980" w:type="dxa"/>
            <w:vAlign w:val="center"/>
          </w:tcPr>
          <w:p w14:paraId="7FAEB9B8" w14:textId="0278061C" w:rsidR="00B9246F" w:rsidRDefault="00B9246F" w:rsidP="003546EB">
            <w:r>
              <w:t>Dividend Income</w:t>
            </w:r>
          </w:p>
        </w:tc>
        <w:tc>
          <w:tcPr>
            <w:tcW w:w="1108" w:type="dxa"/>
            <w:vAlign w:val="center"/>
          </w:tcPr>
          <w:p w14:paraId="6D17B802" w14:textId="6480CCCE" w:rsidR="00B9246F" w:rsidRDefault="003A1D58" w:rsidP="00B9246F">
            <w:pPr>
              <w:jc w:val="right"/>
            </w:pPr>
            <w:r>
              <w:t>12,417</w:t>
            </w:r>
          </w:p>
        </w:tc>
        <w:tc>
          <w:tcPr>
            <w:tcW w:w="1109" w:type="dxa"/>
            <w:vAlign w:val="center"/>
          </w:tcPr>
          <w:p w14:paraId="41FB21C8" w14:textId="44D8402F" w:rsidR="00B9246F" w:rsidRDefault="003A1D58" w:rsidP="00B9246F">
            <w:pPr>
              <w:jc w:val="right"/>
            </w:pPr>
            <w:r>
              <w:t>10,515</w:t>
            </w:r>
          </w:p>
        </w:tc>
        <w:tc>
          <w:tcPr>
            <w:tcW w:w="1109" w:type="dxa"/>
            <w:vAlign w:val="center"/>
          </w:tcPr>
          <w:p w14:paraId="5A4BD5A3" w14:textId="0ED7DEE8" w:rsidR="00B9246F" w:rsidRDefault="003A1D58" w:rsidP="00B9246F">
            <w:pPr>
              <w:jc w:val="right"/>
            </w:pPr>
            <w:r>
              <w:t>12,772</w:t>
            </w:r>
          </w:p>
        </w:tc>
        <w:tc>
          <w:tcPr>
            <w:tcW w:w="1109" w:type="dxa"/>
            <w:vAlign w:val="center"/>
          </w:tcPr>
          <w:p w14:paraId="2A4FC235" w14:textId="14A6A662" w:rsidR="00B9246F" w:rsidRDefault="00B9246F" w:rsidP="00B9246F">
            <w:pPr>
              <w:jc w:val="right"/>
            </w:pPr>
            <w:r>
              <w:t>12,935</w:t>
            </w:r>
          </w:p>
        </w:tc>
        <w:tc>
          <w:tcPr>
            <w:tcW w:w="1109" w:type="dxa"/>
            <w:vAlign w:val="center"/>
          </w:tcPr>
          <w:p w14:paraId="50DA259F" w14:textId="1749EBE0" w:rsidR="00B9246F" w:rsidRDefault="00B9246F" w:rsidP="00B9246F">
            <w:pPr>
              <w:jc w:val="right"/>
            </w:pPr>
            <w:r>
              <w:t>12,895</w:t>
            </w:r>
          </w:p>
        </w:tc>
        <w:tc>
          <w:tcPr>
            <w:tcW w:w="1109" w:type="dxa"/>
            <w:vAlign w:val="center"/>
          </w:tcPr>
          <w:p w14:paraId="5BE231B5" w14:textId="2CD08C75" w:rsidR="00B9246F" w:rsidRDefault="00B9246F" w:rsidP="00B9246F">
            <w:pPr>
              <w:jc w:val="right"/>
            </w:pPr>
            <w:r>
              <w:t>13,281</w:t>
            </w:r>
          </w:p>
        </w:tc>
        <w:tc>
          <w:tcPr>
            <w:tcW w:w="1109" w:type="dxa"/>
            <w:vAlign w:val="center"/>
          </w:tcPr>
          <w:p w14:paraId="0F99CAA4" w14:textId="541BC7ED" w:rsidR="00B9246F" w:rsidRDefault="00B9246F" w:rsidP="00B9246F">
            <w:pPr>
              <w:jc w:val="right"/>
            </w:pPr>
            <w:r>
              <w:t>1,105</w:t>
            </w:r>
          </w:p>
        </w:tc>
      </w:tr>
      <w:tr w:rsidR="00B9246F" w14:paraId="146BAFB2" w14:textId="77777777" w:rsidTr="00B9246F">
        <w:tc>
          <w:tcPr>
            <w:tcW w:w="1980" w:type="dxa"/>
            <w:vAlign w:val="center"/>
          </w:tcPr>
          <w:p w14:paraId="03720851" w14:textId="03AB7EB6" w:rsidR="00B9246F" w:rsidRDefault="00B9246F" w:rsidP="003546EB">
            <w:r>
              <w:t>Interest</w:t>
            </w:r>
          </w:p>
        </w:tc>
        <w:tc>
          <w:tcPr>
            <w:tcW w:w="1108" w:type="dxa"/>
            <w:vAlign w:val="center"/>
          </w:tcPr>
          <w:p w14:paraId="48B5C785" w14:textId="2BB5BB47" w:rsidR="00B9246F" w:rsidRDefault="003A1D58" w:rsidP="00B9246F">
            <w:pPr>
              <w:jc w:val="right"/>
            </w:pPr>
            <w:r>
              <w:t>38</w:t>
            </w:r>
          </w:p>
        </w:tc>
        <w:tc>
          <w:tcPr>
            <w:tcW w:w="1109" w:type="dxa"/>
            <w:vAlign w:val="center"/>
          </w:tcPr>
          <w:p w14:paraId="00B406B9" w14:textId="577A7724" w:rsidR="00B9246F" w:rsidRDefault="003A1D58" w:rsidP="00B9246F">
            <w:pPr>
              <w:jc w:val="right"/>
            </w:pPr>
            <w:r>
              <w:t>15</w:t>
            </w:r>
          </w:p>
        </w:tc>
        <w:tc>
          <w:tcPr>
            <w:tcW w:w="1109" w:type="dxa"/>
            <w:vAlign w:val="center"/>
          </w:tcPr>
          <w:p w14:paraId="15728CAD" w14:textId="2F3ECF9B" w:rsidR="00B9246F" w:rsidRDefault="003A1D58" w:rsidP="00B9246F">
            <w:pPr>
              <w:jc w:val="right"/>
            </w:pPr>
            <w:r>
              <w:t>12</w:t>
            </w:r>
          </w:p>
        </w:tc>
        <w:tc>
          <w:tcPr>
            <w:tcW w:w="1109" w:type="dxa"/>
            <w:vAlign w:val="center"/>
          </w:tcPr>
          <w:p w14:paraId="668B756E" w14:textId="598A71E3" w:rsidR="00B9246F" w:rsidRDefault="00B9246F" w:rsidP="00B9246F">
            <w:pPr>
              <w:jc w:val="right"/>
            </w:pPr>
            <w:r>
              <w:t>15</w:t>
            </w:r>
          </w:p>
        </w:tc>
        <w:tc>
          <w:tcPr>
            <w:tcW w:w="1109" w:type="dxa"/>
            <w:vAlign w:val="center"/>
          </w:tcPr>
          <w:p w14:paraId="0F24E53A" w14:textId="673A4D41" w:rsidR="00B9246F" w:rsidRDefault="007459F9" w:rsidP="00B9246F">
            <w:pPr>
              <w:jc w:val="right"/>
            </w:pPr>
            <w:r>
              <w:t>-</w:t>
            </w:r>
          </w:p>
        </w:tc>
        <w:tc>
          <w:tcPr>
            <w:tcW w:w="1109" w:type="dxa"/>
            <w:vAlign w:val="center"/>
          </w:tcPr>
          <w:p w14:paraId="157A9F37" w14:textId="42B2A6C8" w:rsidR="00B9246F" w:rsidRDefault="007459F9" w:rsidP="00B9246F">
            <w:pPr>
              <w:jc w:val="right"/>
            </w:pPr>
            <w:r>
              <w:t>-</w:t>
            </w:r>
          </w:p>
        </w:tc>
        <w:tc>
          <w:tcPr>
            <w:tcW w:w="1109" w:type="dxa"/>
            <w:vAlign w:val="center"/>
          </w:tcPr>
          <w:p w14:paraId="1C3ABCDA" w14:textId="5AB51D46" w:rsidR="00B9246F" w:rsidRDefault="007459F9" w:rsidP="00B9246F">
            <w:pPr>
              <w:jc w:val="right"/>
            </w:pPr>
            <w:r>
              <w:t>-</w:t>
            </w:r>
          </w:p>
        </w:tc>
      </w:tr>
      <w:tr w:rsidR="00B9246F" w14:paraId="72346228" w14:textId="77777777" w:rsidTr="00B9246F">
        <w:tc>
          <w:tcPr>
            <w:tcW w:w="1980" w:type="dxa"/>
            <w:vAlign w:val="center"/>
          </w:tcPr>
          <w:p w14:paraId="023FF17F" w14:textId="6D64A0D5" w:rsidR="00B9246F" w:rsidRDefault="009545CC" w:rsidP="003546EB">
            <w:r>
              <w:t>Sale of Investments</w:t>
            </w:r>
          </w:p>
        </w:tc>
        <w:tc>
          <w:tcPr>
            <w:tcW w:w="1108" w:type="dxa"/>
            <w:vAlign w:val="center"/>
          </w:tcPr>
          <w:p w14:paraId="6A204098" w14:textId="7130DF5E" w:rsidR="00B9246F" w:rsidRDefault="007459F9" w:rsidP="00B9246F">
            <w:pPr>
              <w:jc w:val="right"/>
            </w:pPr>
            <w:r>
              <w:t>-</w:t>
            </w:r>
          </w:p>
        </w:tc>
        <w:tc>
          <w:tcPr>
            <w:tcW w:w="1109" w:type="dxa"/>
            <w:vAlign w:val="center"/>
          </w:tcPr>
          <w:p w14:paraId="725AEE8B" w14:textId="7AF60A49" w:rsidR="00B9246F" w:rsidRDefault="007459F9" w:rsidP="00B9246F">
            <w:pPr>
              <w:jc w:val="right"/>
            </w:pPr>
            <w:r>
              <w:t>-</w:t>
            </w:r>
          </w:p>
        </w:tc>
        <w:tc>
          <w:tcPr>
            <w:tcW w:w="1109" w:type="dxa"/>
            <w:vAlign w:val="center"/>
          </w:tcPr>
          <w:p w14:paraId="257E4DD9" w14:textId="4BF59D83" w:rsidR="00B9246F" w:rsidRDefault="007459F9" w:rsidP="00B9246F">
            <w:pPr>
              <w:jc w:val="right"/>
            </w:pPr>
            <w:r>
              <w:t>-</w:t>
            </w:r>
          </w:p>
        </w:tc>
        <w:tc>
          <w:tcPr>
            <w:tcW w:w="1109" w:type="dxa"/>
            <w:vAlign w:val="center"/>
          </w:tcPr>
          <w:p w14:paraId="797D4157" w14:textId="28A88255" w:rsidR="00B9246F" w:rsidRDefault="007459F9" w:rsidP="00B9246F">
            <w:pPr>
              <w:jc w:val="right"/>
            </w:pPr>
            <w:r>
              <w:t>-</w:t>
            </w:r>
          </w:p>
        </w:tc>
        <w:tc>
          <w:tcPr>
            <w:tcW w:w="1109" w:type="dxa"/>
            <w:vAlign w:val="center"/>
          </w:tcPr>
          <w:p w14:paraId="554099B2" w14:textId="639CC541" w:rsidR="00B9246F" w:rsidRDefault="007459F9" w:rsidP="00B9246F">
            <w:pPr>
              <w:jc w:val="right"/>
            </w:pPr>
            <w:r>
              <w:t>-</w:t>
            </w:r>
          </w:p>
        </w:tc>
        <w:tc>
          <w:tcPr>
            <w:tcW w:w="1109" w:type="dxa"/>
            <w:vAlign w:val="center"/>
          </w:tcPr>
          <w:p w14:paraId="2A551B81" w14:textId="1048284E" w:rsidR="00B9246F" w:rsidRDefault="007459F9" w:rsidP="00B9246F">
            <w:pPr>
              <w:jc w:val="right"/>
            </w:pPr>
            <w:r>
              <w:t>-</w:t>
            </w:r>
          </w:p>
        </w:tc>
        <w:tc>
          <w:tcPr>
            <w:tcW w:w="1109" w:type="dxa"/>
            <w:vAlign w:val="center"/>
          </w:tcPr>
          <w:p w14:paraId="1E0CF58A" w14:textId="578B345A" w:rsidR="00B9246F" w:rsidRDefault="009545CC" w:rsidP="00B9246F">
            <w:pPr>
              <w:jc w:val="right"/>
            </w:pPr>
            <w:r>
              <w:t>15,000</w:t>
            </w:r>
          </w:p>
        </w:tc>
      </w:tr>
    </w:tbl>
    <w:p w14:paraId="1053314B" w14:textId="77777777" w:rsidR="009411F6" w:rsidRDefault="00901D67" w:rsidP="00874E28">
      <w:pPr>
        <w:spacing w:before="160"/>
        <w:jc w:val="both"/>
      </w:pPr>
      <w:r>
        <w:t xml:space="preserve">As reported to last year’s APCM, a reserve representing 12 months of expenditure for the General Fund was recommended.  The closing balance for the General Fund </w:t>
      </w:r>
      <w:r w:rsidR="009411F6">
        <w:t xml:space="preserve">at year end 2021 </w:t>
      </w:r>
      <w:r>
        <w:t xml:space="preserve">was £32,002.  A more normal </w:t>
      </w:r>
      <w:r w:rsidR="009411F6">
        <w:t xml:space="preserve">reserve </w:t>
      </w:r>
      <w:r>
        <w:t xml:space="preserve">level would be 3 to 6 months of expenditure.  However, given the continuing imbalance between income and expenditure, the income will need to be supplemented whilst the giving level is further addressed.  It may be necessary to transfer some of the surplus in the Building &amp; Restoration Fund </w:t>
      </w:r>
      <w:r w:rsidR="009411F6">
        <w:t>to the General Fund to maintain an adequate reserve.</w:t>
      </w:r>
    </w:p>
    <w:p w14:paraId="1E33C847" w14:textId="21222181" w:rsidR="00C56D48" w:rsidRPr="00874E28" w:rsidRDefault="009411F6" w:rsidP="00874E28">
      <w:pPr>
        <w:spacing w:before="160"/>
        <w:jc w:val="both"/>
        <w:rPr>
          <w:b/>
          <w:bCs/>
        </w:rPr>
      </w:pPr>
      <w:r w:rsidRPr="00874E28">
        <w:rPr>
          <w:b/>
          <w:bCs/>
        </w:rPr>
        <w:t xml:space="preserve">Using the sale of investment shares to make up the General Fund shortfall can only be sustained for a few more years.  Whilst </w:t>
      </w:r>
      <w:r w:rsidR="00874E28" w:rsidRPr="00874E28">
        <w:rPr>
          <w:b/>
          <w:bCs/>
        </w:rPr>
        <w:t xml:space="preserve">good </w:t>
      </w:r>
      <w:r w:rsidRPr="00874E28">
        <w:rPr>
          <w:b/>
          <w:bCs/>
        </w:rPr>
        <w:t xml:space="preserve">progress has been made with Planned Giving in 2021, </w:t>
      </w:r>
      <w:r w:rsidR="0033209B" w:rsidRPr="00874E28">
        <w:rPr>
          <w:b/>
          <w:bCs/>
        </w:rPr>
        <w:t>the shortfall</w:t>
      </w:r>
      <w:r w:rsidR="002255A2" w:rsidRPr="00874E28">
        <w:rPr>
          <w:b/>
          <w:bCs/>
        </w:rPr>
        <w:t xml:space="preserve"> remains as the biggest financial risk for the continuing presence of the church in the village.</w:t>
      </w:r>
    </w:p>
    <w:p w14:paraId="353E7E7F" w14:textId="5C25F644" w:rsidR="003D1256" w:rsidRDefault="0064547A" w:rsidP="00CF1022">
      <w:pPr>
        <w:pStyle w:val="Heading1"/>
        <w:rPr>
          <w:rFonts w:eastAsia="Times New Roman"/>
        </w:rPr>
      </w:pPr>
      <w:r>
        <w:rPr>
          <w:rFonts w:eastAsia="Times New Roman"/>
        </w:rPr>
        <w:lastRenderedPageBreak/>
        <w:t>The Tower and Glass Restoration Project</w:t>
      </w:r>
      <w:r w:rsidR="003D1256">
        <w:rPr>
          <w:rFonts w:eastAsia="Times New Roman"/>
        </w:rPr>
        <w:t>:</w:t>
      </w:r>
    </w:p>
    <w:p w14:paraId="73367624" w14:textId="77777777" w:rsidR="00D806D2" w:rsidRDefault="00874E28" w:rsidP="00874E28">
      <w:pPr>
        <w:jc w:val="both"/>
        <w:rPr>
          <w:rFonts w:eastAsia="Times New Roman"/>
        </w:rPr>
      </w:pPr>
      <w:r>
        <w:rPr>
          <w:rFonts w:eastAsia="Times New Roman"/>
        </w:rPr>
        <w:t xml:space="preserve">The </w:t>
      </w:r>
      <w:r w:rsidR="0079240E">
        <w:rPr>
          <w:rFonts w:eastAsia="Times New Roman"/>
        </w:rPr>
        <w:t xml:space="preserve">major restoration project to repair the stonework on the tower and clean the glass </w:t>
      </w:r>
      <w:r w:rsidR="00EE13EC">
        <w:rPr>
          <w:rFonts w:eastAsia="Times New Roman"/>
        </w:rPr>
        <w:t xml:space="preserve">throughout the church </w:t>
      </w:r>
      <w:r w:rsidR="0079240E">
        <w:rPr>
          <w:rFonts w:eastAsia="Times New Roman"/>
        </w:rPr>
        <w:t>has been completed successfully and within budget.  The PCC is very grateful to Roland Cherry for acting as the Project Manager</w:t>
      </w:r>
      <w:r w:rsidR="00694835">
        <w:rPr>
          <w:rFonts w:eastAsia="Times New Roman"/>
        </w:rPr>
        <w:t xml:space="preserve"> and to Boden &amp; Ward</w:t>
      </w:r>
      <w:r w:rsidR="00D806D2">
        <w:rPr>
          <w:rFonts w:eastAsia="Times New Roman"/>
        </w:rPr>
        <w:t>,</w:t>
      </w:r>
      <w:r w:rsidR="00694835">
        <w:rPr>
          <w:rFonts w:eastAsia="Times New Roman"/>
        </w:rPr>
        <w:t xml:space="preserve"> as main contractors</w:t>
      </w:r>
      <w:r w:rsidR="00D806D2">
        <w:rPr>
          <w:rFonts w:eastAsia="Times New Roman"/>
        </w:rPr>
        <w:t>,</w:t>
      </w:r>
      <w:r w:rsidR="00694835">
        <w:rPr>
          <w:rFonts w:eastAsia="Times New Roman"/>
        </w:rPr>
        <w:t xml:space="preserve"> </w:t>
      </w:r>
      <w:r w:rsidR="00D806D2">
        <w:rPr>
          <w:rFonts w:eastAsia="Times New Roman"/>
        </w:rPr>
        <w:t>who have demonstrated their professionalism and outstanding craftmanship throughout.</w:t>
      </w:r>
    </w:p>
    <w:p w14:paraId="43D64242" w14:textId="0452AFFF" w:rsidR="008B6391" w:rsidRDefault="00370774" w:rsidP="00874E28">
      <w:pPr>
        <w:jc w:val="both"/>
        <w:rPr>
          <w:rFonts w:eastAsia="Times New Roman"/>
        </w:rPr>
      </w:pPr>
      <w:r>
        <w:rPr>
          <w:rFonts w:eastAsia="Times New Roman"/>
        </w:rPr>
        <w:t>Although</w:t>
      </w:r>
      <w:r w:rsidR="0079240E">
        <w:rPr>
          <w:rFonts w:eastAsia="Times New Roman"/>
        </w:rPr>
        <w:t xml:space="preserve"> </w:t>
      </w:r>
      <w:proofErr w:type="gramStart"/>
      <w:r w:rsidR="0079240E">
        <w:rPr>
          <w:rFonts w:eastAsia="Times New Roman"/>
        </w:rPr>
        <w:t>the</w:t>
      </w:r>
      <w:proofErr w:type="gramEnd"/>
      <w:r w:rsidR="0079240E">
        <w:rPr>
          <w:rFonts w:eastAsia="Times New Roman"/>
        </w:rPr>
        <w:t xml:space="preserve"> major part of the funding for the project came from the Church’s long term investments</w:t>
      </w:r>
      <w:r w:rsidR="001B324A">
        <w:rPr>
          <w:rFonts w:eastAsia="Times New Roman"/>
        </w:rPr>
        <w:t xml:space="preserve">, the following donations have been </w:t>
      </w:r>
      <w:r w:rsidR="0045321D">
        <w:rPr>
          <w:rFonts w:eastAsia="Times New Roman"/>
        </w:rPr>
        <w:t xml:space="preserve">very </w:t>
      </w:r>
      <w:r w:rsidR="001B324A">
        <w:rPr>
          <w:rFonts w:eastAsia="Times New Roman"/>
        </w:rPr>
        <w:t>gratefully received:</w:t>
      </w:r>
    </w:p>
    <w:p w14:paraId="62E478EB" w14:textId="71581C78" w:rsidR="001B324A" w:rsidRDefault="001B324A" w:rsidP="001B324A">
      <w:pPr>
        <w:pStyle w:val="ListParagraph"/>
        <w:numPr>
          <w:ilvl w:val="0"/>
          <w:numId w:val="5"/>
        </w:numPr>
        <w:jc w:val="both"/>
        <w:rPr>
          <w:rFonts w:eastAsia="Times New Roman"/>
        </w:rPr>
      </w:pPr>
      <w:r>
        <w:rPr>
          <w:rFonts w:eastAsia="Times New Roman"/>
        </w:rPr>
        <w:t xml:space="preserve">£21,000 from the Tysoe Church Restoration Fund for the restoration of the Chancel </w:t>
      </w:r>
      <w:r w:rsidR="00321DC5">
        <w:rPr>
          <w:rFonts w:eastAsia="Times New Roman"/>
        </w:rPr>
        <w:t xml:space="preserve">and Vestry </w:t>
      </w:r>
      <w:proofErr w:type="gramStart"/>
      <w:r>
        <w:rPr>
          <w:rFonts w:eastAsia="Times New Roman"/>
        </w:rPr>
        <w:t>windows;</w:t>
      </w:r>
      <w:proofErr w:type="gramEnd"/>
    </w:p>
    <w:p w14:paraId="4D7065BA" w14:textId="750825FF" w:rsidR="001B324A" w:rsidRDefault="001B324A" w:rsidP="001B324A">
      <w:pPr>
        <w:pStyle w:val="ListParagraph"/>
        <w:numPr>
          <w:ilvl w:val="0"/>
          <w:numId w:val="5"/>
        </w:numPr>
        <w:jc w:val="both"/>
        <w:rPr>
          <w:rFonts w:eastAsia="Times New Roman"/>
        </w:rPr>
      </w:pPr>
      <w:r>
        <w:rPr>
          <w:rFonts w:eastAsia="Times New Roman"/>
        </w:rPr>
        <w:t xml:space="preserve">£9,973 from Christine Chapman’s bequest towards the cost of restoring the clock </w:t>
      </w:r>
      <w:proofErr w:type="gramStart"/>
      <w:r>
        <w:rPr>
          <w:rFonts w:eastAsia="Times New Roman"/>
        </w:rPr>
        <w:t>faces;</w:t>
      </w:r>
      <w:proofErr w:type="gramEnd"/>
    </w:p>
    <w:p w14:paraId="54A6AE48" w14:textId="75963B42" w:rsidR="001B324A" w:rsidRDefault="001B324A" w:rsidP="001B324A">
      <w:pPr>
        <w:pStyle w:val="ListParagraph"/>
        <w:numPr>
          <w:ilvl w:val="0"/>
          <w:numId w:val="5"/>
        </w:numPr>
        <w:jc w:val="both"/>
        <w:rPr>
          <w:rFonts w:eastAsia="Times New Roman"/>
        </w:rPr>
      </w:pPr>
      <w:r>
        <w:rPr>
          <w:rFonts w:eastAsia="Times New Roman"/>
        </w:rPr>
        <w:t xml:space="preserve">£1,725 in individual </w:t>
      </w:r>
      <w:proofErr w:type="gramStart"/>
      <w:r>
        <w:rPr>
          <w:rFonts w:eastAsia="Times New Roman"/>
        </w:rPr>
        <w:t>donations;</w:t>
      </w:r>
      <w:proofErr w:type="gramEnd"/>
    </w:p>
    <w:p w14:paraId="1F6C40D3" w14:textId="70AD8E5A" w:rsidR="001B324A" w:rsidRDefault="001B324A" w:rsidP="001B324A">
      <w:pPr>
        <w:pStyle w:val="ListParagraph"/>
        <w:numPr>
          <w:ilvl w:val="0"/>
          <w:numId w:val="5"/>
        </w:numPr>
        <w:jc w:val="both"/>
        <w:rPr>
          <w:rFonts w:eastAsia="Times New Roman"/>
        </w:rPr>
      </w:pPr>
      <w:r>
        <w:rPr>
          <w:rFonts w:eastAsia="Times New Roman"/>
        </w:rPr>
        <w:t xml:space="preserve">£651 from the sale of Hazel Robinson’s paintings, generously donated by John </w:t>
      </w:r>
      <w:proofErr w:type="gramStart"/>
      <w:r>
        <w:rPr>
          <w:rFonts w:eastAsia="Times New Roman"/>
        </w:rPr>
        <w:t>Scott</w:t>
      </w:r>
      <w:r w:rsidR="00EE13EC">
        <w:rPr>
          <w:rFonts w:eastAsia="Times New Roman"/>
        </w:rPr>
        <w:t>;</w:t>
      </w:r>
      <w:proofErr w:type="gramEnd"/>
    </w:p>
    <w:p w14:paraId="4D3B094E" w14:textId="1DF62647" w:rsidR="00EE13EC" w:rsidRDefault="00EE13EC" w:rsidP="001B324A">
      <w:pPr>
        <w:pStyle w:val="ListParagraph"/>
        <w:numPr>
          <w:ilvl w:val="0"/>
          <w:numId w:val="5"/>
        </w:numPr>
        <w:jc w:val="both"/>
        <w:rPr>
          <w:rFonts w:eastAsia="Times New Roman"/>
        </w:rPr>
      </w:pPr>
      <w:r>
        <w:rPr>
          <w:rFonts w:eastAsia="Times New Roman"/>
        </w:rPr>
        <w:t>Donations in memory of Tom Pilkington and …</w:t>
      </w:r>
    </w:p>
    <w:p w14:paraId="07272306" w14:textId="4A6F06C3" w:rsidR="00EE13EC" w:rsidRDefault="00EE13EC" w:rsidP="001B324A">
      <w:pPr>
        <w:pStyle w:val="ListParagraph"/>
        <w:numPr>
          <w:ilvl w:val="0"/>
          <w:numId w:val="5"/>
        </w:numPr>
        <w:jc w:val="both"/>
        <w:rPr>
          <w:rFonts w:eastAsia="Times New Roman"/>
        </w:rPr>
      </w:pPr>
      <w:r>
        <w:rPr>
          <w:rFonts w:eastAsia="Times New Roman"/>
        </w:rPr>
        <w:t>A recent donation in memory of Keith Billing towards the restoration of the clock faces.</w:t>
      </w:r>
    </w:p>
    <w:p w14:paraId="206346AD" w14:textId="0AF69E24" w:rsidR="0045321D" w:rsidRDefault="0045321D" w:rsidP="0045321D">
      <w:pPr>
        <w:spacing w:before="120"/>
        <w:jc w:val="both"/>
        <w:rPr>
          <w:rFonts w:eastAsia="Times New Roman"/>
        </w:rPr>
      </w:pPr>
      <w:r>
        <w:rPr>
          <w:rFonts w:eastAsia="Times New Roman"/>
        </w:rPr>
        <w:t xml:space="preserve">Whilst the project was largely completed in 2021, the final work and many of the invoices rolled over into 2022.  For completeness, the </w:t>
      </w:r>
      <w:r w:rsidR="00343F32">
        <w:rPr>
          <w:rFonts w:eastAsia="Times New Roman"/>
        </w:rPr>
        <w:t xml:space="preserve">total </w:t>
      </w:r>
      <w:r>
        <w:rPr>
          <w:rFonts w:eastAsia="Times New Roman"/>
        </w:rPr>
        <w:t>costs of the project are shown below:</w:t>
      </w:r>
    </w:p>
    <w:tbl>
      <w:tblPr>
        <w:tblStyle w:val="TableGrid"/>
        <w:tblW w:w="0" w:type="auto"/>
        <w:tblLook w:val="04A0" w:firstRow="1" w:lastRow="0" w:firstColumn="1" w:lastColumn="0" w:noHBand="0" w:noVBand="1"/>
      </w:tblPr>
      <w:tblGrid>
        <w:gridCol w:w="5524"/>
        <w:gridCol w:w="1406"/>
        <w:gridCol w:w="1406"/>
        <w:gridCol w:w="1406"/>
      </w:tblGrid>
      <w:tr w:rsidR="0045321D" w:rsidRPr="0045321D" w14:paraId="7C99CDC8" w14:textId="77777777" w:rsidTr="006F0370">
        <w:tc>
          <w:tcPr>
            <w:tcW w:w="5524" w:type="dxa"/>
            <w:vAlign w:val="center"/>
          </w:tcPr>
          <w:p w14:paraId="2A36BCBC" w14:textId="7EF7675D" w:rsidR="0045321D" w:rsidRPr="0045321D" w:rsidRDefault="0045321D" w:rsidP="0045321D">
            <w:pPr>
              <w:spacing w:before="120"/>
              <w:rPr>
                <w:rFonts w:eastAsia="Times New Roman"/>
                <w:b/>
                <w:bCs/>
              </w:rPr>
            </w:pPr>
            <w:r w:rsidRPr="0045321D">
              <w:rPr>
                <w:rFonts w:eastAsia="Times New Roman"/>
                <w:b/>
                <w:bCs/>
              </w:rPr>
              <w:t>Description</w:t>
            </w:r>
          </w:p>
        </w:tc>
        <w:tc>
          <w:tcPr>
            <w:tcW w:w="1406" w:type="dxa"/>
            <w:vAlign w:val="center"/>
          </w:tcPr>
          <w:p w14:paraId="10F33464" w14:textId="7322935D" w:rsidR="0045321D" w:rsidRPr="0045321D" w:rsidRDefault="0045321D" w:rsidP="0045321D">
            <w:pPr>
              <w:spacing w:before="120"/>
              <w:jc w:val="center"/>
              <w:rPr>
                <w:rFonts w:eastAsia="Times New Roman"/>
                <w:b/>
                <w:bCs/>
              </w:rPr>
            </w:pPr>
            <w:r w:rsidRPr="0045321D">
              <w:rPr>
                <w:rFonts w:eastAsia="Times New Roman"/>
                <w:b/>
                <w:bCs/>
              </w:rPr>
              <w:t>2021</w:t>
            </w:r>
          </w:p>
        </w:tc>
        <w:tc>
          <w:tcPr>
            <w:tcW w:w="1406" w:type="dxa"/>
            <w:vAlign w:val="center"/>
          </w:tcPr>
          <w:p w14:paraId="5D2DADBA" w14:textId="0AE8D344" w:rsidR="0045321D" w:rsidRPr="0045321D" w:rsidRDefault="0045321D" w:rsidP="0045321D">
            <w:pPr>
              <w:spacing w:before="120"/>
              <w:jc w:val="center"/>
              <w:rPr>
                <w:rFonts w:eastAsia="Times New Roman"/>
                <w:b/>
                <w:bCs/>
              </w:rPr>
            </w:pPr>
            <w:r w:rsidRPr="0045321D">
              <w:rPr>
                <w:rFonts w:eastAsia="Times New Roman"/>
                <w:b/>
                <w:bCs/>
              </w:rPr>
              <w:t>2022</w:t>
            </w:r>
          </w:p>
        </w:tc>
        <w:tc>
          <w:tcPr>
            <w:tcW w:w="1406" w:type="dxa"/>
            <w:vAlign w:val="center"/>
          </w:tcPr>
          <w:p w14:paraId="3C6EAAC3" w14:textId="3C57F849" w:rsidR="0045321D" w:rsidRPr="0045321D" w:rsidRDefault="0045321D" w:rsidP="0045321D">
            <w:pPr>
              <w:spacing w:before="120"/>
              <w:jc w:val="center"/>
              <w:rPr>
                <w:rFonts w:eastAsia="Times New Roman"/>
                <w:b/>
                <w:bCs/>
              </w:rPr>
            </w:pPr>
            <w:r w:rsidRPr="0045321D">
              <w:rPr>
                <w:rFonts w:eastAsia="Times New Roman"/>
                <w:b/>
                <w:bCs/>
              </w:rPr>
              <w:t>Total</w:t>
            </w:r>
          </w:p>
        </w:tc>
      </w:tr>
      <w:tr w:rsidR="0045321D" w14:paraId="6E12371A" w14:textId="77777777" w:rsidTr="006F0370">
        <w:tc>
          <w:tcPr>
            <w:tcW w:w="5524" w:type="dxa"/>
            <w:vAlign w:val="center"/>
          </w:tcPr>
          <w:p w14:paraId="337874C8" w14:textId="09AB220E" w:rsidR="0045321D" w:rsidRDefault="00464182" w:rsidP="0045321D">
            <w:pPr>
              <w:spacing w:before="120"/>
              <w:rPr>
                <w:rFonts w:eastAsia="Times New Roman"/>
              </w:rPr>
            </w:pPr>
            <w:r>
              <w:rPr>
                <w:rFonts w:eastAsia="Times New Roman"/>
              </w:rPr>
              <w:t>Boden &amp; Ward, Stonemasons</w:t>
            </w:r>
          </w:p>
        </w:tc>
        <w:tc>
          <w:tcPr>
            <w:tcW w:w="1406" w:type="dxa"/>
            <w:vAlign w:val="center"/>
          </w:tcPr>
          <w:p w14:paraId="2F24F1B4" w14:textId="22C2603E" w:rsidR="0045321D" w:rsidRDefault="00464182" w:rsidP="0045321D">
            <w:pPr>
              <w:spacing w:before="120"/>
              <w:jc w:val="right"/>
              <w:rPr>
                <w:rFonts w:eastAsia="Times New Roman"/>
              </w:rPr>
            </w:pPr>
            <w:r>
              <w:rPr>
                <w:rFonts w:eastAsia="Times New Roman"/>
              </w:rPr>
              <w:t>140,399</w:t>
            </w:r>
          </w:p>
        </w:tc>
        <w:tc>
          <w:tcPr>
            <w:tcW w:w="1406" w:type="dxa"/>
            <w:vAlign w:val="center"/>
          </w:tcPr>
          <w:p w14:paraId="37594016" w14:textId="6DC1F475" w:rsidR="0045321D" w:rsidRDefault="007E371D" w:rsidP="0045321D">
            <w:pPr>
              <w:spacing w:before="120"/>
              <w:jc w:val="right"/>
              <w:rPr>
                <w:rFonts w:eastAsia="Times New Roman"/>
              </w:rPr>
            </w:pPr>
            <w:r>
              <w:rPr>
                <w:rFonts w:eastAsia="Times New Roman"/>
              </w:rPr>
              <w:t>111,242</w:t>
            </w:r>
          </w:p>
        </w:tc>
        <w:tc>
          <w:tcPr>
            <w:tcW w:w="1406" w:type="dxa"/>
            <w:vAlign w:val="center"/>
          </w:tcPr>
          <w:p w14:paraId="75FC6095" w14:textId="178F1C69" w:rsidR="0045321D" w:rsidRDefault="00464182" w:rsidP="0045321D">
            <w:pPr>
              <w:spacing w:before="120"/>
              <w:jc w:val="right"/>
              <w:rPr>
                <w:rFonts w:eastAsia="Times New Roman"/>
              </w:rPr>
            </w:pPr>
            <w:r>
              <w:rPr>
                <w:rFonts w:eastAsia="Times New Roman"/>
              </w:rPr>
              <w:t>2</w:t>
            </w:r>
            <w:r w:rsidR="00370774">
              <w:rPr>
                <w:rFonts w:eastAsia="Times New Roman"/>
              </w:rPr>
              <w:t>5</w:t>
            </w:r>
            <w:r w:rsidR="007E371D">
              <w:rPr>
                <w:rFonts w:eastAsia="Times New Roman"/>
              </w:rPr>
              <w:t>1</w:t>
            </w:r>
            <w:r>
              <w:rPr>
                <w:rFonts w:eastAsia="Times New Roman"/>
              </w:rPr>
              <w:t>,</w:t>
            </w:r>
            <w:r w:rsidR="007E371D">
              <w:rPr>
                <w:rFonts w:eastAsia="Times New Roman"/>
              </w:rPr>
              <w:t>641</w:t>
            </w:r>
          </w:p>
        </w:tc>
      </w:tr>
      <w:tr w:rsidR="00464182" w14:paraId="649443AF" w14:textId="77777777" w:rsidTr="006F0370">
        <w:tc>
          <w:tcPr>
            <w:tcW w:w="5524" w:type="dxa"/>
            <w:vAlign w:val="center"/>
          </w:tcPr>
          <w:p w14:paraId="0A28BDCD" w14:textId="4B760503" w:rsidR="00464182" w:rsidRDefault="00464182" w:rsidP="0045321D">
            <w:pPr>
              <w:spacing w:before="120"/>
              <w:rPr>
                <w:rFonts w:eastAsia="Times New Roman"/>
              </w:rPr>
            </w:pPr>
            <w:r>
              <w:rPr>
                <w:rFonts w:eastAsia="Times New Roman"/>
              </w:rPr>
              <w:t>Acanthus Clews, Architects</w:t>
            </w:r>
          </w:p>
        </w:tc>
        <w:tc>
          <w:tcPr>
            <w:tcW w:w="1406" w:type="dxa"/>
            <w:vAlign w:val="center"/>
          </w:tcPr>
          <w:p w14:paraId="58060BCE" w14:textId="3A3C06E0" w:rsidR="00464182" w:rsidRDefault="00464182" w:rsidP="0045321D">
            <w:pPr>
              <w:spacing w:before="120"/>
              <w:jc w:val="right"/>
              <w:rPr>
                <w:rFonts w:eastAsia="Times New Roman"/>
              </w:rPr>
            </w:pPr>
            <w:r>
              <w:rPr>
                <w:rFonts w:eastAsia="Times New Roman"/>
              </w:rPr>
              <w:t>22,791</w:t>
            </w:r>
          </w:p>
        </w:tc>
        <w:tc>
          <w:tcPr>
            <w:tcW w:w="1406" w:type="dxa"/>
            <w:vAlign w:val="center"/>
          </w:tcPr>
          <w:p w14:paraId="7AFFCFB9" w14:textId="3222F32E" w:rsidR="00464182" w:rsidRDefault="00464182" w:rsidP="0045321D">
            <w:pPr>
              <w:spacing w:before="120"/>
              <w:jc w:val="right"/>
              <w:rPr>
                <w:rFonts w:eastAsia="Times New Roman"/>
              </w:rPr>
            </w:pPr>
            <w:r>
              <w:rPr>
                <w:rFonts w:eastAsia="Times New Roman"/>
              </w:rPr>
              <w:t>3,</w:t>
            </w:r>
            <w:r w:rsidR="007E371D">
              <w:rPr>
                <w:rFonts w:eastAsia="Times New Roman"/>
              </w:rPr>
              <w:t>018</w:t>
            </w:r>
          </w:p>
        </w:tc>
        <w:tc>
          <w:tcPr>
            <w:tcW w:w="1406" w:type="dxa"/>
            <w:vAlign w:val="center"/>
          </w:tcPr>
          <w:p w14:paraId="42D0F002" w14:textId="07AF5DA0" w:rsidR="00464182" w:rsidRDefault="007E371D" w:rsidP="0045321D">
            <w:pPr>
              <w:spacing w:before="120"/>
              <w:jc w:val="right"/>
              <w:rPr>
                <w:rFonts w:eastAsia="Times New Roman"/>
              </w:rPr>
            </w:pPr>
            <w:r>
              <w:rPr>
                <w:rFonts w:eastAsia="Times New Roman"/>
              </w:rPr>
              <w:t>25,809</w:t>
            </w:r>
          </w:p>
        </w:tc>
      </w:tr>
      <w:tr w:rsidR="00464182" w14:paraId="21E2B2D8" w14:textId="77777777" w:rsidTr="006F0370">
        <w:tc>
          <w:tcPr>
            <w:tcW w:w="5524" w:type="dxa"/>
            <w:vAlign w:val="center"/>
          </w:tcPr>
          <w:p w14:paraId="50F48076" w14:textId="7B4016D1" w:rsidR="00464182" w:rsidRDefault="00464182" w:rsidP="0045321D">
            <w:pPr>
              <w:spacing w:before="120"/>
              <w:rPr>
                <w:rFonts w:eastAsia="Times New Roman"/>
              </w:rPr>
            </w:pPr>
            <w:r>
              <w:rPr>
                <w:rFonts w:eastAsia="Times New Roman"/>
              </w:rPr>
              <w:t>The Cumbria Clock Company</w:t>
            </w:r>
          </w:p>
        </w:tc>
        <w:tc>
          <w:tcPr>
            <w:tcW w:w="1406" w:type="dxa"/>
            <w:vAlign w:val="center"/>
          </w:tcPr>
          <w:p w14:paraId="4EF11BD0" w14:textId="71BE4E28" w:rsidR="00464182" w:rsidRDefault="00464182" w:rsidP="0045321D">
            <w:pPr>
              <w:spacing w:before="120"/>
              <w:jc w:val="right"/>
              <w:rPr>
                <w:rFonts w:eastAsia="Times New Roman"/>
              </w:rPr>
            </w:pPr>
            <w:r>
              <w:rPr>
                <w:rFonts w:eastAsia="Times New Roman"/>
              </w:rPr>
              <w:t>17,052</w:t>
            </w:r>
          </w:p>
        </w:tc>
        <w:tc>
          <w:tcPr>
            <w:tcW w:w="1406" w:type="dxa"/>
            <w:vAlign w:val="center"/>
          </w:tcPr>
          <w:p w14:paraId="12C4D873" w14:textId="603E91CB" w:rsidR="00464182" w:rsidRDefault="00464182" w:rsidP="0045321D">
            <w:pPr>
              <w:spacing w:before="120"/>
              <w:jc w:val="right"/>
              <w:rPr>
                <w:rFonts w:eastAsia="Times New Roman"/>
              </w:rPr>
            </w:pPr>
            <w:r>
              <w:rPr>
                <w:rFonts w:eastAsia="Times New Roman"/>
              </w:rPr>
              <w:t>480</w:t>
            </w:r>
          </w:p>
        </w:tc>
        <w:tc>
          <w:tcPr>
            <w:tcW w:w="1406" w:type="dxa"/>
            <w:vAlign w:val="center"/>
          </w:tcPr>
          <w:p w14:paraId="24B07E1C" w14:textId="325945D2" w:rsidR="00464182" w:rsidRDefault="00464182" w:rsidP="0045321D">
            <w:pPr>
              <w:spacing w:before="120"/>
              <w:jc w:val="right"/>
              <w:rPr>
                <w:rFonts w:eastAsia="Times New Roman"/>
              </w:rPr>
            </w:pPr>
            <w:r>
              <w:rPr>
                <w:rFonts w:eastAsia="Times New Roman"/>
              </w:rPr>
              <w:t>17,532</w:t>
            </w:r>
          </w:p>
        </w:tc>
      </w:tr>
      <w:tr w:rsidR="00464182" w14:paraId="2D89635F" w14:textId="77777777" w:rsidTr="006F0370">
        <w:tc>
          <w:tcPr>
            <w:tcW w:w="5524" w:type="dxa"/>
            <w:vAlign w:val="center"/>
          </w:tcPr>
          <w:p w14:paraId="1A9209CF" w14:textId="238EFE32" w:rsidR="00464182" w:rsidRDefault="00464182" w:rsidP="0045321D">
            <w:pPr>
              <w:spacing w:before="120"/>
              <w:rPr>
                <w:rFonts w:eastAsia="Times New Roman"/>
              </w:rPr>
            </w:pPr>
            <w:r>
              <w:rPr>
                <w:rFonts w:eastAsia="Times New Roman"/>
              </w:rPr>
              <w:t xml:space="preserve">Various surveys (including </w:t>
            </w:r>
            <w:r w:rsidR="00A479CC">
              <w:rPr>
                <w:rFonts w:eastAsia="Times New Roman"/>
              </w:rPr>
              <w:t>ecology</w:t>
            </w:r>
            <w:r w:rsidR="00343F32">
              <w:rPr>
                <w:rFonts w:eastAsia="Times New Roman"/>
              </w:rPr>
              <w:t xml:space="preserve"> and a “bat licence”)</w:t>
            </w:r>
            <w:r w:rsidR="00090F73">
              <w:rPr>
                <w:rFonts w:eastAsia="Times New Roman"/>
              </w:rPr>
              <w:t>, insurance, blacksmith, lightning conductor, cleaning, etc.</w:t>
            </w:r>
          </w:p>
        </w:tc>
        <w:tc>
          <w:tcPr>
            <w:tcW w:w="1406" w:type="dxa"/>
            <w:vAlign w:val="center"/>
          </w:tcPr>
          <w:p w14:paraId="6F8F0DB5" w14:textId="57413E85" w:rsidR="00464182" w:rsidRDefault="00090F73" w:rsidP="0045321D">
            <w:pPr>
              <w:spacing w:before="120"/>
              <w:jc w:val="right"/>
              <w:rPr>
                <w:rFonts w:eastAsia="Times New Roman"/>
              </w:rPr>
            </w:pPr>
            <w:r>
              <w:rPr>
                <w:rFonts w:eastAsia="Times New Roman"/>
              </w:rPr>
              <w:t>7,917</w:t>
            </w:r>
          </w:p>
        </w:tc>
        <w:tc>
          <w:tcPr>
            <w:tcW w:w="1406" w:type="dxa"/>
            <w:vAlign w:val="center"/>
          </w:tcPr>
          <w:p w14:paraId="5E0DCBD8" w14:textId="7246181F" w:rsidR="00464182" w:rsidRDefault="00090F73" w:rsidP="0045321D">
            <w:pPr>
              <w:spacing w:before="120"/>
              <w:jc w:val="right"/>
              <w:rPr>
                <w:rFonts w:eastAsia="Times New Roman"/>
              </w:rPr>
            </w:pPr>
            <w:r>
              <w:rPr>
                <w:rFonts w:eastAsia="Times New Roman"/>
              </w:rPr>
              <w:t>6,2</w:t>
            </w:r>
            <w:r w:rsidR="007E371D">
              <w:rPr>
                <w:rFonts w:eastAsia="Times New Roman"/>
              </w:rPr>
              <w:t>48</w:t>
            </w:r>
          </w:p>
        </w:tc>
        <w:tc>
          <w:tcPr>
            <w:tcW w:w="1406" w:type="dxa"/>
            <w:vAlign w:val="center"/>
          </w:tcPr>
          <w:p w14:paraId="5251F74F" w14:textId="4C0B9E51" w:rsidR="00464182" w:rsidRDefault="007E371D" w:rsidP="0045321D">
            <w:pPr>
              <w:spacing w:before="120"/>
              <w:jc w:val="right"/>
              <w:rPr>
                <w:rFonts w:eastAsia="Times New Roman"/>
              </w:rPr>
            </w:pPr>
            <w:r>
              <w:rPr>
                <w:rFonts w:eastAsia="Times New Roman"/>
              </w:rPr>
              <w:t>14,165</w:t>
            </w:r>
          </w:p>
        </w:tc>
      </w:tr>
      <w:tr w:rsidR="00A479CC" w14:paraId="072D3D40" w14:textId="77777777" w:rsidTr="006F0370">
        <w:tc>
          <w:tcPr>
            <w:tcW w:w="5524" w:type="dxa"/>
            <w:vAlign w:val="center"/>
          </w:tcPr>
          <w:p w14:paraId="04B6C7D3" w14:textId="072198E1" w:rsidR="00A479CC" w:rsidRDefault="00A479CC" w:rsidP="0045321D">
            <w:pPr>
              <w:spacing w:before="120"/>
              <w:rPr>
                <w:rFonts w:eastAsia="Times New Roman"/>
              </w:rPr>
            </w:pPr>
            <w:r>
              <w:rPr>
                <w:rFonts w:eastAsia="Times New Roman"/>
              </w:rPr>
              <w:t>Listed Places of Worship VAT reclaim grants</w:t>
            </w:r>
          </w:p>
        </w:tc>
        <w:tc>
          <w:tcPr>
            <w:tcW w:w="1406" w:type="dxa"/>
            <w:vAlign w:val="center"/>
          </w:tcPr>
          <w:p w14:paraId="731CA60B" w14:textId="1B1E2C62" w:rsidR="00A479CC" w:rsidRDefault="00A479CC" w:rsidP="0045321D">
            <w:pPr>
              <w:spacing w:before="120"/>
              <w:jc w:val="right"/>
              <w:rPr>
                <w:rFonts w:eastAsia="Times New Roman"/>
              </w:rPr>
            </w:pPr>
            <w:r>
              <w:rPr>
                <w:rFonts w:eastAsia="Times New Roman"/>
              </w:rPr>
              <w:t>(18,244)</w:t>
            </w:r>
          </w:p>
        </w:tc>
        <w:tc>
          <w:tcPr>
            <w:tcW w:w="1406" w:type="dxa"/>
            <w:vAlign w:val="center"/>
          </w:tcPr>
          <w:p w14:paraId="2D1ADD46" w14:textId="44508175" w:rsidR="00A479CC" w:rsidRDefault="00A479CC" w:rsidP="0045321D">
            <w:pPr>
              <w:spacing w:before="120"/>
              <w:jc w:val="right"/>
              <w:rPr>
                <w:rFonts w:eastAsia="Times New Roman"/>
              </w:rPr>
            </w:pPr>
            <w:r>
              <w:rPr>
                <w:rFonts w:eastAsia="Times New Roman"/>
              </w:rPr>
              <w:t>(</w:t>
            </w:r>
            <w:r w:rsidR="007E371D">
              <w:rPr>
                <w:rFonts w:eastAsia="Times New Roman"/>
              </w:rPr>
              <w:t>32,894</w:t>
            </w:r>
            <w:r>
              <w:rPr>
                <w:rFonts w:eastAsia="Times New Roman"/>
              </w:rPr>
              <w:t>)</w:t>
            </w:r>
          </w:p>
        </w:tc>
        <w:tc>
          <w:tcPr>
            <w:tcW w:w="1406" w:type="dxa"/>
            <w:vAlign w:val="center"/>
          </w:tcPr>
          <w:p w14:paraId="7AA781D8" w14:textId="065FDF37" w:rsidR="00A479CC" w:rsidRDefault="00A479CC" w:rsidP="0045321D">
            <w:pPr>
              <w:spacing w:before="120"/>
              <w:jc w:val="right"/>
              <w:rPr>
                <w:rFonts w:eastAsia="Times New Roman"/>
              </w:rPr>
            </w:pPr>
            <w:r>
              <w:rPr>
                <w:rFonts w:eastAsia="Times New Roman"/>
              </w:rPr>
              <w:t>(51</w:t>
            </w:r>
            <w:r w:rsidR="007E371D">
              <w:rPr>
                <w:rFonts w:eastAsia="Times New Roman"/>
              </w:rPr>
              <w:t>,138</w:t>
            </w:r>
            <w:r>
              <w:rPr>
                <w:rFonts w:eastAsia="Times New Roman"/>
              </w:rPr>
              <w:t>)</w:t>
            </w:r>
          </w:p>
        </w:tc>
      </w:tr>
      <w:tr w:rsidR="00A479CC" w:rsidRPr="00343F32" w14:paraId="328FAB7E" w14:textId="77777777" w:rsidTr="006F0370">
        <w:tc>
          <w:tcPr>
            <w:tcW w:w="5524" w:type="dxa"/>
            <w:vAlign w:val="center"/>
          </w:tcPr>
          <w:p w14:paraId="660F284D" w14:textId="2326C242" w:rsidR="00A479CC" w:rsidRPr="00343F32" w:rsidRDefault="00A479CC" w:rsidP="0045321D">
            <w:pPr>
              <w:spacing w:before="120"/>
              <w:rPr>
                <w:rFonts w:eastAsia="Times New Roman"/>
                <w:b/>
                <w:bCs/>
              </w:rPr>
            </w:pPr>
            <w:r w:rsidRPr="00343F32">
              <w:rPr>
                <w:rFonts w:eastAsia="Times New Roman"/>
                <w:b/>
                <w:bCs/>
              </w:rPr>
              <w:t>Total Costs</w:t>
            </w:r>
          </w:p>
        </w:tc>
        <w:tc>
          <w:tcPr>
            <w:tcW w:w="1406" w:type="dxa"/>
            <w:vAlign w:val="center"/>
          </w:tcPr>
          <w:p w14:paraId="6E89F39A" w14:textId="49F076B2" w:rsidR="00A479CC" w:rsidRPr="00343F32" w:rsidRDefault="00A479CC" w:rsidP="0045321D">
            <w:pPr>
              <w:spacing w:before="120"/>
              <w:jc w:val="right"/>
              <w:rPr>
                <w:rFonts w:eastAsia="Times New Roman"/>
                <w:b/>
                <w:bCs/>
              </w:rPr>
            </w:pPr>
            <w:r w:rsidRPr="00343F32">
              <w:rPr>
                <w:rFonts w:eastAsia="Times New Roman"/>
                <w:b/>
                <w:bCs/>
              </w:rPr>
              <w:t>£169,915</w:t>
            </w:r>
          </w:p>
        </w:tc>
        <w:tc>
          <w:tcPr>
            <w:tcW w:w="1406" w:type="dxa"/>
            <w:vAlign w:val="center"/>
          </w:tcPr>
          <w:p w14:paraId="3D534EC9" w14:textId="4A251E30" w:rsidR="00A479CC" w:rsidRPr="00343F32" w:rsidRDefault="006F0370" w:rsidP="0045321D">
            <w:pPr>
              <w:spacing w:before="120"/>
              <w:jc w:val="right"/>
              <w:rPr>
                <w:rFonts w:eastAsia="Times New Roman"/>
                <w:b/>
                <w:bCs/>
              </w:rPr>
            </w:pPr>
            <w:r w:rsidRPr="00343F32">
              <w:rPr>
                <w:rFonts w:eastAsia="Times New Roman"/>
                <w:b/>
                <w:bCs/>
              </w:rPr>
              <w:t>£</w:t>
            </w:r>
            <w:r w:rsidR="007E371D">
              <w:rPr>
                <w:rFonts w:eastAsia="Times New Roman"/>
                <w:b/>
                <w:bCs/>
              </w:rPr>
              <w:t>88,094</w:t>
            </w:r>
          </w:p>
        </w:tc>
        <w:tc>
          <w:tcPr>
            <w:tcW w:w="1406" w:type="dxa"/>
            <w:vAlign w:val="center"/>
          </w:tcPr>
          <w:p w14:paraId="400247F7" w14:textId="287B613A" w:rsidR="00A479CC" w:rsidRPr="00343F32" w:rsidRDefault="006F0370" w:rsidP="0045321D">
            <w:pPr>
              <w:spacing w:before="120"/>
              <w:jc w:val="right"/>
              <w:rPr>
                <w:rFonts w:eastAsia="Times New Roman"/>
                <w:b/>
                <w:bCs/>
              </w:rPr>
            </w:pPr>
            <w:r w:rsidRPr="00343F32">
              <w:rPr>
                <w:rFonts w:eastAsia="Times New Roman"/>
                <w:b/>
                <w:bCs/>
              </w:rPr>
              <w:t>£</w:t>
            </w:r>
            <w:r w:rsidR="007E371D">
              <w:rPr>
                <w:rFonts w:eastAsia="Times New Roman"/>
                <w:b/>
                <w:bCs/>
              </w:rPr>
              <w:t>258,009</w:t>
            </w:r>
          </w:p>
        </w:tc>
      </w:tr>
    </w:tbl>
    <w:p w14:paraId="443477DD" w14:textId="613EC5DA" w:rsidR="0045321D" w:rsidRDefault="00370774" w:rsidP="0045321D">
      <w:pPr>
        <w:spacing w:before="120"/>
        <w:jc w:val="both"/>
        <w:rPr>
          <w:rFonts w:eastAsia="Times New Roman"/>
        </w:rPr>
      </w:pPr>
      <w:r>
        <w:rPr>
          <w:rFonts w:eastAsia="Times New Roman"/>
        </w:rPr>
        <w:t>There is a</w:t>
      </w:r>
      <w:r w:rsidR="00343F32">
        <w:rPr>
          <w:rFonts w:eastAsia="Times New Roman"/>
        </w:rPr>
        <w:t xml:space="preserve"> further</w:t>
      </w:r>
      <w:r>
        <w:rPr>
          <w:rFonts w:eastAsia="Times New Roman"/>
        </w:rPr>
        <w:t xml:space="preserve"> 2.5% retention sum of £5,</w:t>
      </w:r>
      <w:r w:rsidR="00E94B48">
        <w:rPr>
          <w:rFonts w:eastAsia="Times New Roman"/>
        </w:rPr>
        <w:t>377</w:t>
      </w:r>
      <w:r>
        <w:rPr>
          <w:rFonts w:eastAsia="Times New Roman"/>
        </w:rPr>
        <w:t xml:space="preserve"> (exc. VAT) which will be</w:t>
      </w:r>
      <w:r w:rsidR="00343F32">
        <w:rPr>
          <w:rFonts w:eastAsia="Times New Roman"/>
        </w:rPr>
        <w:t>come</w:t>
      </w:r>
      <w:r>
        <w:rPr>
          <w:rFonts w:eastAsia="Times New Roman"/>
        </w:rPr>
        <w:t xml:space="preserve"> payable to Boden &amp; Ward in 12 months’ time.</w:t>
      </w:r>
    </w:p>
    <w:p w14:paraId="5062AFD3" w14:textId="6715071C" w:rsidR="0045321D" w:rsidRPr="0045321D" w:rsidRDefault="00343F32" w:rsidP="0045321D">
      <w:pPr>
        <w:jc w:val="both"/>
        <w:rPr>
          <w:rFonts w:eastAsia="Times New Roman"/>
        </w:rPr>
      </w:pPr>
      <w:r>
        <w:rPr>
          <w:rFonts w:eastAsia="Times New Roman"/>
        </w:rPr>
        <w:t xml:space="preserve">During the project, there was a significant amount of </w:t>
      </w:r>
      <w:r w:rsidR="00D24ED4">
        <w:rPr>
          <w:rFonts w:eastAsia="Times New Roman"/>
        </w:rPr>
        <w:t xml:space="preserve">work that was </w:t>
      </w:r>
      <w:r>
        <w:rPr>
          <w:rFonts w:eastAsia="Times New Roman"/>
        </w:rPr>
        <w:t xml:space="preserve">originally planned </w:t>
      </w:r>
      <w:r w:rsidR="00D24ED4">
        <w:rPr>
          <w:rFonts w:eastAsia="Times New Roman"/>
        </w:rPr>
        <w:t xml:space="preserve">to be carried out, but </w:t>
      </w:r>
      <w:r>
        <w:rPr>
          <w:rFonts w:eastAsia="Times New Roman"/>
        </w:rPr>
        <w:t xml:space="preserve">which was </w:t>
      </w:r>
      <w:r w:rsidR="00D24ED4">
        <w:rPr>
          <w:rFonts w:eastAsia="Times New Roman"/>
        </w:rPr>
        <w:t xml:space="preserve">later </w:t>
      </w:r>
      <w:r w:rsidR="00090F73">
        <w:rPr>
          <w:rFonts w:eastAsia="Times New Roman"/>
        </w:rPr>
        <w:t>found</w:t>
      </w:r>
      <w:r>
        <w:rPr>
          <w:rFonts w:eastAsia="Times New Roman"/>
        </w:rPr>
        <w:t xml:space="preserve"> not to be required – some of the stonework was not in as bad a condition as </w:t>
      </w:r>
      <w:r w:rsidR="00133F00">
        <w:rPr>
          <w:rFonts w:eastAsia="Times New Roman"/>
        </w:rPr>
        <w:t xml:space="preserve">was </w:t>
      </w:r>
      <w:r>
        <w:rPr>
          <w:rFonts w:eastAsia="Times New Roman"/>
        </w:rPr>
        <w:t xml:space="preserve">expected by the architect.  However, additional repairs to the pinnacles, chancel belfry, nave walls, tower louvres and tower roof were added whilst access was available </w:t>
      </w:r>
      <w:r w:rsidR="00133F00">
        <w:rPr>
          <w:rFonts w:eastAsia="Times New Roman"/>
        </w:rPr>
        <w:t xml:space="preserve">from the scaffolding.  It is understood that the building is now in good repair, but </w:t>
      </w:r>
      <w:r w:rsidR="00D24ED4">
        <w:rPr>
          <w:rFonts w:eastAsia="Times New Roman"/>
        </w:rPr>
        <w:t>the next</w:t>
      </w:r>
      <w:r w:rsidR="00133F00">
        <w:rPr>
          <w:rFonts w:eastAsia="Times New Roman"/>
        </w:rPr>
        <w:t xml:space="preserve"> quinquennial inspection </w:t>
      </w:r>
      <w:r w:rsidR="00D24ED4">
        <w:rPr>
          <w:rFonts w:eastAsia="Times New Roman"/>
        </w:rPr>
        <w:t xml:space="preserve">is </w:t>
      </w:r>
      <w:r w:rsidR="00133F00">
        <w:rPr>
          <w:rFonts w:eastAsia="Times New Roman"/>
        </w:rPr>
        <w:t>scheduled for later this year – the report</w:t>
      </w:r>
      <w:r w:rsidR="00694835">
        <w:rPr>
          <w:rFonts w:eastAsia="Times New Roman"/>
        </w:rPr>
        <w:t xml:space="preserve"> is awaited with interest</w:t>
      </w:r>
      <w:r w:rsidR="00133F00">
        <w:rPr>
          <w:rFonts w:eastAsia="Times New Roman"/>
        </w:rPr>
        <w:t>!</w:t>
      </w:r>
    </w:p>
    <w:p w14:paraId="4D6B0D1A" w14:textId="6F008DA8" w:rsidR="009723C9" w:rsidRDefault="00090F73" w:rsidP="009723C9">
      <w:pPr>
        <w:pStyle w:val="Heading1"/>
        <w:rPr>
          <w:rFonts w:eastAsia="Times New Roman"/>
        </w:rPr>
      </w:pPr>
      <w:r>
        <w:rPr>
          <w:rFonts w:eastAsia="Times New Roman"/>
        </w:rPr>
        <w:t>Summary</w:t>
      </w:r>
      <w:r w:rsidR="009723C9">
        <w:rPr>
          <w:rFonts w:eastAsia="Times New Roman"/>
        </w:rPr>
        <w:t>:</w:t>
      </w:r>
    </w:p>
    <w:p w14:paraId="1EE28074" w14:textId="01687428" w:rsidR="009723C9" w:rsidRDefault="009723C9" w:rsidP="00874E28">
      <w:pPr>
        <w:jc w:val="both"/>
      </w:pPr>
      <w:r w:rsidRPr="009723C9">
        <w:t>The</w:t>
      </w:r>
      <w:r>
        <w:t xml:space="preserve"> 202</w:t>
      </w:r>
      <w:r w:rsidR="0072134D">
        <w:t>1</w:t>
      </w:r>
      <w:r w:rsidRPr="009723C9">
        <w:t xml:space="preserve"> </w:t>
      </w:r>
      <w:r>
        <w:t>Financial Statement has been prepared in accordance with the Church of England</w:t>
      </w:r>
      <w:r w:rsidR="002B6D09">
        <w:t>’s</w:t>
      </w:r>
      <w:r>
        <w:t xml:space="preserve"> reporting requirements</w:t>
      </w:r>
      <w:r w:rsidR="00133F00">
        <w:t xml:space="preserve"> and the detailed accounts are available in the Church or on request</w:t>
      </w:r>
      <w:r>
        <w:t>.</w:t>
      </w:r>
    </w:p>
    <w:p w14:paraId="0B044690" w14:textId="165C8C8E" w:rsidR="00184E4C" w:rsidRDefault="00184E4C" w:rsidP="00874E28">
      <w:pPr>
        <w:jc w:val="both"/>
      </w:pPr>
      <w:r>
        <w:t xml:space="preserve">In summary, </w:t>
      </w:r>
      <w:r w:rsidR="00694835">
        <w:t>the Church continues to enjoy a very fortunate financial position with significant investments remaining, even after the major building project.  However, the General Fund has a serious shortfall in income.  Covering the shortfall by selling the investments can only be sustained for a few</w:t>
      </w:r>
      <w:r w:rsidR="00090F73">
        <w:t xml:space="preserve"> more</w:t>
      </w:r>
      <w:r w:rsidR="00694835">
        <w:t xml:space="preserve"> years.  Fundamentally, the Planned Giving needs to be increased to balance the </w:t>
      </w:r>
      <w:r w:rsidR="00D806D2">
        <w:t xml:space="preserve">normal </w:t>
      </w:r>
      <w:r w:rsidR="00694835">
        <w:t>expenditure.</w:t>
      </w:r>
    </w:p>
    <w:p w14:paraId="405841B1" w14:textId="5C0A2C41" w:rsidR="002B6D09" w:rsidRPr="002B6D09" w:rsidRDefault="002B6D09" w:rsidP="00FA31FD">
      <w:pPr>
        <w:rPr>
          <w:b/>
          <w:bCs/>
        </w:rPr>
      </w:pPr>
      <w:r w:rsidRPr="002B6D09">
        <w:rPr>
          <w:b/>
          <w:bCs/>
        </w:rPr>
        <w:t>M A Palmer</w:t>
      </w:r>
      <w:r w:rsidRPr="002B6D09">
        <w:rPr>
          <w:b/>
          <w:bCs/>
        </w:rPr>
        <w:br/>
        <w:t>Church Treasurer</w:t>
      </w:r>
      <w:r w:rsidRPr="002B6D09">
        <w:rPr>
          <w:b/>
          <w:bCs/>
        </w:rPr>
        <w:br/>
      </w:r>
      <w:r w:rsidR="00591E7D">
        <w:rPr>
          <w:b/>
          <w:bCs/>
        </w:rPr>
        <w:t xml:space="preserve">7 </w:t>
      </w:r>
      <w:r w:rsidR="00874E28">
        <w:rPr>
          <w:b/>
          <w:bCs/>
        </w:rPr>
        <w:t>April</w:t>
      </w:r>
      <w:r>
        <w:rPr>
          <w:b/>
          <w:bCs/>
        </w:rPr>
        <w:t xml:space="preserve"> </w:t>
      </w:r>
      <w:r w:rsidRPr="002B6D09">
        <w:rPr>
          <w:b/>
          <w:bCs/>
        </w:rPr>
        <w:t>202</w:t>
      </w:r>
      <w:r w:rsidR="00FC70DD">
        <w:rPr>
          <w:b/>
          <w:bCs/>
        </w:rPr>
        <w:t>2</w:t>
      </w:r>
    </w:p>
    <w:sectPr w:rsidR="002B6D09" w:rsidRPr="002B6D09" w:rsidSect="00CF102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AF9"/>
    <w:multiLevelType w:val="hybridMultilevel"/>
    <w:tmpl w:val="AB92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81AE2"/>
    <w:multiLevelType w:val="hybridMultilevel"/>
    <w:tmpl w:val="FAE24DAA"/>
    <w:lvl w:ilvl="0" w:tplc="F6C8ECF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91CF2"/>
    <w:multiLevelType w:val="hybridMultilevel"/>
    <w:tmpl w:val="3594F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1FE7C01"/>
    <w:multiLevelType w:val="hybridMultilevel"/>
    <w:tmpl w:val="E7BC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E45EF"/>
    <w:multiLevelType w:val="hybridMultilevel"/>
    <w:tmpl w:val="35B2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37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8111469">
    <w:abstractNumId w:val="1"/>
  </w:num>
  <w:num w:numId="3" w16cid:durableId="1356228519">
    <w:abstractNumId w:val="4"/>
  </w:num>
  <w:num w:numId="4" w16cid:durableId="1006592538">
    <w:abstractNumId w:val="0"/>
  </w:num>
  <w:num w:numId="5" w16cid:durableId="589854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BB"/>
    <w:rsid w:val="00021D70"/>
    <w:rsid w:val="00042A3D"/>
    <w:rsid w:val="00065AC1"/>
    <w:rsid w:val="00090F73"/>
    <w:rsid w:val="0009547A"/>
    <w:rsid w:val="001115EF"/>
    <w:rsid w:val="001156A9"/>
    <w:rsid w:val="00133F00"/>
    <w:rsid w:val="00135B30"/>
    <w:rsid w:val="00150C08"/>
    <w:rsid w:val="00182977"/>
    <w:rsid w:val="00184E4C"/>
    <w:rsid w:val="001B324A"/>
    <w:rsid w:val="001B7998"/>
    <w:rsid w:val="001D1815"/>
    <w:rsid w:val="001E582D"/>
    <w:rsid w:val="001E5E06"/>
    <w:rsid w:val="001F6601"/>
    <w:rsid w:val="002255A2"/>
    <w:rsid w:val="002B42BB"/>
    <w:rsid w:val="002B6D09"/>
    <w:rsid w:val="002B7A2F"/>
    <w:rsid w:val="002C7CCF"/>
    <w:rsid w:val="002E7B0C"/>
    <w:rsid w:val="00301DE0"/>
    <w:rsid w:val="003052BB"/>
    <w:rsid w:val="00311B98"/>
    <w:rsid w:val="00320193"/>
    <w:rsid w:val="00321DC5"/>
    <w:rsid w:val="00322858"/>
    <w:rsid w:val="00330EC2"/>
    <w:rsid w:val="0033209B"/>
    <w:rsid w:val="00343F32"/>
    <w:rsid w:val="00354FD7"/>
    <w:rsid w:val="00370774"/>
    <w:rsid w:val="003A1D58"/>
    <w:rsid w:val="003B1F4D"/>
    <w:rsid w:val="003C7E76"/>
    <w:rsid w:val="003D1256"/>
    <w:rsid w:val="003F2F76"/>
    <w:rsid w:val="00424F18"/>
    <w:rsid w:val="004272F8"/>
    <w:rsid w:val="00437C7A"/>
    <w:rsid w:val="0045321D"/>
    <w:rsid w:val="00464182"/>
    <w:rsid w:val="004D039A"/>
    <w:rsid w:val="004D11C2"/>
    <w:rsid w:val="005611F3"/>
    <w:rsid w:val="00585CEA"/>
    <w:rsid w:val="00591E7D"/>
    <w:rsid w:val="00592A44"/>
    <w:rsid w:val="005B56E1"/>
    <w:rsid w:val="005C377B"/>
    <w:rsid w:val="00625AA5"/>
    <w:rsid w:val="00631118"/>
    <w:rsid w:val="00631C6B"/>
    <w:rsid w:val="0064547A"/>
    <w:rsid w:val="0069362F"/>
    <w:rsid w:val="00694835"/>
    <w:rsid w:val="006C7349"/>
    <w:rsid w:val="006F0370"/>
    <w:rsid w:val="0072134D"/>
    <w:rsid w:val="00740D46"/>
    <w:rsid w:val="00744CE5"/>
    <w:rsid w:val="007459F9"/>
    <w:rsid w:val="0079240E"/>
    <w:rsid w:val="007D2670"/>
    <w:rsid w:val="007E371D"/>
    <w:rsid w:val="00820F7D"/>
    <w:rsid w:val="008260E4"/>
    <w:rsid w:val="00852CCD"/>
    <w:rsid w:val="00874E28"/>
    <w:rsid w:val="00891FCA"/>
    <w:rsid w:val="008A5AF8"/>
    <w:rsid w:val="008B6132"/>
    <w:rsid w:val="008B6391"/>
    <w:rsid w:val="008C4833"/>
    <w:rsid w:val="008D51DE"/>
    <w:rsid w:val="008E57E1"/>
    <w:rsid w:val="00900F20"/>
    <w:rsid w:val="00901D67"/>
    <w:rsid w:val="00914AB5"/>
    <w:rsid w:val="00916C4B"/>
    <w:rsid w:val="009411F6"/>
    <w:rsid w:val="00944C98"/>
    <w:rsid w:val="0094742B"/>
    <w:rsid w:val="009545CC"/>
    <w:rsid w:val="0096303B"/>
    <w:rsid w:val="009723C9"/>
    <w:rsid w:val="00991251"/>
    <w:rsid w:val="00993D72"/>
    <w:rsid w:val="009C02A2"/>
    <w:rsid w:val="009E25F5"/>
    <w:rsid w:val="00A0256F"/>
    <w:rsid w:val="00A20CE9"/>
    <w:rsid w:val="00A374E4"/>
    <w:rsid w:val="00A479CC"/>
    <w:rsid w:val="00A82977"/>
    <w:rsid w:val="00AD3731"/>
    <w:rsid w:val="00AE174E"/>
    <w:rsid w:val="00B01BB2"/>
    <w:rsid w:val="00B0391B"/>
    <w:rsid w:val="00B31B09"/>
    <w:rsid w:val="00B6256D"/>
    <w:rsid w:val="00B72595"/>
    <w:rsid w:val="00B9246F"/>
    <w:rsid w:val="00B93CEA"/>
    <w:rsid w:val="00BB1737"/>
    <w:rsid w:val="00C07BE9"/>
    <w:rsid w:val="00C12B85"/>
    <w:rsid w:val="00C50D67"/>
    <w:rsid w:val="00C56D48"/>
    <w:rsid w:val="00C73CD2"/>
    <w:rsid w:val="00CB78B5"/>
    <w:rsid w:val="00CF09DE"/>
    <w:rsid w:val="00CF1022"/>
    <w:rsid w:val="00D24ED4"/>
    <w:rsid w:val="00D30479"/>
    <w:rsid w:val="00D572AB"/>
    <w:rsid w:val="00D66047"/>
    <w:rsid w:val="00D74F5B"/>
    <w:rsid w:val="00D75CF4"/>
    <w:rsid w:val="00D806D2"/>
    <w:rsid w:val="00D871BA"/>
    <w:rsid w:val="00D9328D"/>
    <w:rsid w:val="00D93CD4"/>
    <w:rsid w:val="00DF548A"/>
    <w:rsid w:val="00E152BB"/>
    <w:rsid w:val="00E200FA"/>
    <w:rsid w:val="00E51B3B"/>
    <w:rsid w:val="00E865EE"/>
    <w:rsid w:val="00E939D8"/>
    <w:rsid w:val="00E94B48"/>
    <w:rsid w:val="00E966A6"/>
    <w:rsid w:val="00EA0C72"/>
    <w:rsid w:val="00EB39DA"/>
    <w:rsid w:val="00EE13EC"/>
    <w:rsid w:val="00EE32E1"/>
    <w:rsid w:val="00F432AB"/>
    <w:rsid w:val="00F84F7D"/>
    <w:rsid w:val="00FA31FD"/>
    <w:rsid w:val="00FA5467"/>
    <w:rsid w:val="00FB619F"/>
    <w:rsid w:val="00FC70DD"/>
    <w:rsid w:val="00FF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1E56"/>
  <w15:chartTrackingRefBased/>
  <w15:docId w15:val="{4C177A7B-156E-43F9-9293-7F173E83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F1022"/>
    <w:pPr>
      <w:keepNext/>
      <w:keepLines/>
      <w:numPr>
        <w:numId w:val="2"/>
      </w:numPr>
      <w:spacing w:before="240" w:after="0"/>
      <w:ind w:left="357" w:hanging="357"/>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56"/>
    <w:pPr>
      <w:spacing w:after="0" w:line="240" w:lineRule="auto"/>
      <w:ind w:left="720"/>
    </w:pPr>
    <w:rPr>
      <w:rFonts w:ascii="Calibri" w:hAnsi="Calibri" w:cs="Calibri"/>
    </w:rPr>
  </w:style>
  <w:style w:type="paragraph" w:styleId="Title">
    <w:name w:val="Title"/>
    <w:basedOn w:val="Normal"/>
    <w:next w:val="Normal"/>
    <w:link w:val="TitleChar"/>
    <w:uiPriority w:val="10"/>
    <w:qFormat/>
    <w:rsid w:val="00CF1022"/>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F102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CF1022"/>
    <w:rPr>
      <w:rFonts w:asciiTheme="majorHAnsi" w:eastAsiaTheme="majorEastAsia" w:hAnsiTheme="majorHAnsi" w:cstheme="majorBidi"/>
      <w:b/>
      <w:sz w:val="28"/>
      <w:szCs w:val="32"/>
    </w:rPr>
  </w:style>
  <w:style w:type="table" w:styleId="TableGrid">
    <w:name w:val="Table Grid"/>
    <w:basedOn w:val="TableNormal"/>
    <w:uiPriority w:val="39"/>
    <w:rsid w:val="00D8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70608">
      <w:bodyDiv w:val="1"/>
      <w:marLeft w:val="0"/>
      <w:marRight w:val="0"/>
      <w:marTop w:val="0"/>
      <w:marBottom w:val="0"/>
      <w:divBdr>
        <w:top w:val="none" w:sz="0" w:space="0" w:color="auto"/>
        <w:left w:val="none" w:sz="0" w:space="0" w:color="auto"/>
        <w:bottom w:val="none" w:sz="0" w:space="0" w:color="auto"/>
        <w:right w:val="none" w:sz="0" w:space="0" w:color="auto"/>
      </w:divBdr>
    </w:div>
    <w:div w:id="14746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3</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dc:creator>
  <cp:keywords/>
  <dc:description/>
  <cp:lastModifiedBy>Mike Palmer</cp:lastModifiedBy>
  <cp:revision>26</cp:revision>
  <cp:lastPrinted>2021-04-18T06:53:00Z</cp:lastPrinted>
  <dcterms:created xsi:type="dcterms:W3CDTF">2021-04-18T06:33:00Z</dcterms:created>
  <dcterms:modified xsi:type="dcterms:W3CDTF">2022-04-07T08:54:00Z</dcterms:modified>
</cp:coreProperties>
</file>